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A85D" w14:textId="38881D95" w:rsidR="000030A4" w:rsidRPr="00EC4652" w:rsidRDefault="00EC4652" w:rsidP="00EC4652">
      <w:pPr>
        <w:rPr>
          <w:lang w:val="fr-FR"/>
        </w:rPr>
      </w:pPr>
      <w:r>
        <w:rPr>
          <w:rFonts w:ascii="Calibri" w:eastAsia="Arial Unicode MS" w:hAnsi="Calibri" w:cs="Calibri"/>
          <w:b/>
          <w:color w:val="auto"/>
          <w:lang w:val="fr-FR"/>
        </w:rPr>
        <w:t xml:space="preserve">Termes de References </w:t>
      </w:r>
      <w:r w:rsidRPr="00643F1C">
        <w:rPr>
          <w:rFonts w:ascii="Calibri" w:eastAsia="Arial Unicode MS" w:hAnsi="Calibri" w:cs="Calibri"/>
          <w:b/>
          <w:color w:val="auto"/>
          <w:lang w:val="fr-FR"/>
        </w:rPr>
        <w:t xml:space="preserve">Consultant International SBC </w:t>
      </w:r>
      <w:r w:rsidRPr="000030A4">
        <w:rPr>
          <w:rFonts w:ascii="Calibri" w:eastAsia="Arial Unicode MS" w:hAnsi="Calibri" w:cs="Calibri"/>
          <w:bCs/>
          <w:color w:val="auto"/>
          <w:lang w:val="fr-FR"/>
        </w:rPr>
        <w:t>Immunisation</w:t>
      </w:r>
      <w:r>
        <w:rPr>
          <w:rFonts w:ascii="Calibri" w:eastAsia="Arial Unicode MS" w:hAnsi="Calibri" w:cs="Calibri"/>
          <w:b/>
          <w:color w:val="auto"/>
          <w:lang w:val="fr-FR"/>
        </w:rPr>
        <w:t xml:space="preserve"> (</w:t>
      </w:r>
      <w:r w:rsidRPr="00643F1C">
        <w:rPr>
          <w:rFonts w:ascii="Calibri" w:eastAsia="Arial Unicode MS" w:hAnsi="Calibri" w:cs="Calibri"/>
          <w:b/>
          <w:color w:val="auto"/>
          <w:lang w:val="fr-FR"/>
        </w:rPr>
        <w:t>introduction nouve</w:t>
      </w:r>
      <w:r>
        <w:rPr>
          <w:rFonts w:ascii="Calibri" w:eastAsia="Arial Unicode MS" w:hAnsi="Calibri" w:cs="Calibri"/>
          <w:b/>
          <w:color w:val="auto"/>
          <w:lang w:val="fr-FR"/>
        </w:rPr>
        <w:t>au vaccin HPV)</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7613B3" w:rsidRPr="000030A4" w14:paraId="2F971280" w14:textId="77777777" w:rsidTr="004F3A34">
        <w:trPr>
          <w:trHeight w:val="828"/>
        </w:trPr>
        <w:tc>
          <w:tcPr>
            <w:tcW w:w="9887" w:type="dxa"/>
            <w:tcBorders>
              <w:bottom w:val="single" w:sz="4" w:space="0" w:color="auto"/>
            </w:tcBorders>
            <w:shd w:val="clear" w:color="auto" w:fill="auto"/>
            <w:noWrap/>
            <w:hideMark/>
          </w:tcPr>
          <w:p w14:paraId="37400F48" w14:textId="52294FEA" w:rsidR="007613B3" w:rsidRPr="0076718A" w:rsidRDefault="007613B3" w:rsidP="0076718A">
            <w:pPr>
              <w:spacing w:before="60" w:after="60" w:line="240" w:lineRule="auto"/>
              <w:jc w:val="both"/>
              <w:rPr>
                <w:rFonts w:asciiTheme="minorHAnsi" w:hAnsiTheme="minorHAnsi" w:cstheme="minorHAnsi"/>
                <w:lang w:val="fr-FR"/>
              </w:rPr>
            </w:pPr>
            <w:r w:rsidRPr="00BE4C8A">
              <w:rPr>
                <w:rFonts w:ascii="Calibri" w:eastAsia="Arial Unicode MS" w:hAnsi="Calibri" w:cs="Calibri"/>
                <w:b/>
                <w:color w:val="auto"/>
                <w:lang w:val="fr-FR"/>
              </w:rPr>
              <w:lastRenderedPageBreak/>
              <w:t xml:space="preserve">Purpose of Activity/Assignment: </w:t>
            </w:r>
            <w:r w:rsidR="00BE4C8A" w:rsidRPr="004A6532">
              <w:rPr>
                <w:rFonts w:cs="Arial"/>
                <w:lang w:val="fr-FR"/>
              </w:rPr>
              <w:t xml:space="preserve"> </w:t>
            </w:r>
            <w:r w:rsidR="00BB7CA1">
              <w:rPr>
                <w:rFonts w:asciiTheme="minorHAnsi" w:hAnsiTheme="minorHAnsi" w:cstheme="minorHAnsi"/>
                <w:lang w:val="fr-FR"/>
              </w:rPr>
              <w:t>F</w:t>
            </w:r>
            <w:r w:rsidR="00BE4C8A" w:rsidRPr="00BE4C8A">
              <w:rPr>
                <w:rFonts w:asciiTheme="minorHAnsi" w:hAnsiTheme="minorHAnsi" w:cstheme="minorHAnsi"/>
                <w:lang w:val="fr-FR"/>
              </w:rPr>
              <w:t>ournir un appui technique au service communication et plaidoyer du PEV et la DPS en matière de changement social et comportemental dans le cadre de l’introduction du nouveau vaccin HPV. Un plan de travail sera élaboré à cet effet. En outre la/le Consultant soumettra au superviseur des rapports mensuels d’activités sur la base du plan de travail initialement validé.</w:t>
            </w:r>
          </w:p>
        </w:tc>
      </w:tr>
      <w:tr w:rsidR="007613B3" w:rsidRPr="00453936" w14:paraId="55B63C31" w14:textId="77777777" w:rsidTr="00215013">
        <w:trPr>
          <w:trHeight w:val="1430"/>
        </w:trPr>
        <w:tc>
          <w:tcPr>
            <w:tcW w:w="9887" w:type="dxa"/>
            <w:tcBorders>
              <w:bottom w:val="single" w:sz="4" w:space="0" w:color="auto"/>
            </w:tcBorders>
            <w:shd w:val="clear" w:color="auto" w:fill="auto"/>
            <w:noWrap/>
          </w:tcPr>
          <w:p w14:paraId="64EE50FB" w14:textId="3287CEAF" w:rsidR="007613B3" w:rsidRDefault="007613B3" w:rsidP="00E42815">
            <w:pPr>
              <w:spacing w:line="240" w:lineRule="auto"/>
              <w:rPr>
                <w:rFonts w:ascii="Calibri" w:eastAsia="Arial Unicode MS" w:hAnsi="Calibri" w:cs="Calibri"/>
                <w:b/>
                <w:bCs/>
                <w:color w:val="auto"/>
                <w:lang w:val="fr-FR"/>
              </w:rPr>
            </w:pPr>
            <w:r w:rsidRPr="005472E4">
              <w:rPr>
                <w:rFonts w:ascii="Calibri" w:eastAsia="Arial Unicode MS" w:hAnsi="Calibri" w:cs="Calibri"/>
                <w:b/>
                <w:bCs/>
                <w:color w:val="auto"/>
                <w:lang w:val="fr-FR"/>
              </w:rPr>
              <w:t>Scope of Work:</w:t>
            </w:r>
          </w:p>
          <w:p w14:paraId="1F10D14A" w14:textId="4B393EEB" w:rsidR="00E42815" w:rsidRPr="00E42815" w:rsidRDefault="00E42815" w:rsidP="00E42815">
            <w:pPr>
              <w:pStyle w:val="Heading1"/>
              <w:numPr>
                <w:ilvl w:val="0"/>
                <w:numId w:val="27"/>
              </w:numPr>
              <w:tabs>
                <w:tab w:val="num" w:pos="360"/>
                <w:tab w:val="num" w:pos="720"/>
                <w:tab w:val="left" w:pos="871"/>
              </w:tabs>
              <w:spacing w:before="0" w:after="0"/>
              <w:ind w:left="720" w:hanging="341"/>
              <w:rPr>
                <w:rFonts w:asciiTheme="minorHAnsi" w:hAnsiTheme="minorHAnsi" w:cstheme="minorHAnsi"/>
                <w:color w:val="212A34"/>
                <w:sz w:val="20"/>
                <w:szCs w:val="20"/>
              </w:rPr>
            </w:pPr>
            <w:r>
              <w:rPr>
                <w:rFonts w:asciiTheme="minorHAnsi" w:hAnsiTheme="minorHAnsi" w:cstheme="minorHAnsi"/>
                <w:color w:val="212A34"/>
                <w:w w:val="105"/>
                <w:sz w:val="20"/>
                <w:szCs w:val="20"/>
              </w:rPr>
              <w:t>Contexte &amp; justification:</w:t>
            </w:r>
          </w:p>
          <w:p w14:paraId="79769D49" w14:textId="77777777" w:rsidR="005472E4" w:rsidRP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lang w:val="fr-FR"/>
              </w:rPr>
              <w:t>Le papillomavirus est une infection virale prévalente du tractus génital qui peut entraîner diverses affections chez les hommes et les femmes, notamment des lésions précancéreuses susceptibles d'évoluer vers un cancer.</w:t>
            </w:r>
          </w:p>
          <w:p w14:paraId="567CEF28" w14:textId="77777777" w:rsidR="005472E4" w:rsidRP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lang w:val="fr-FR"/>
              </w:rPr>
              <w:t xml:space="preserve">Selon l’Organisation Mondiale de la Santé, le cancer du col de l’utérus reste le quatrième cancer le plus répandu chez les femmes à l’échelle mondiale, avec 570 000 nouveaux cas estimés en 2018 (9) et le </w:t>
            </w:r>
            <w:r w:rsidRPr="00FC584E">
              <w:rPr>
                <w:rFonts w:asciiTheme="minorHAnsi" w:eastAsia="Times New Roman" w:hAnsiTheme="minorHAnsi" w:cstheme="minorHAnsi"/>
                <w:color w:val="434343"/>
                <w:lang w:val="fr-FR"/>
              </w:rPr>
              <w:t xml:space="preserve">sixième cancer chez les femmes dans la Région de la Méditerranée </w:t>
            </w:r>
            <w:r w:rsidRPr="005472E4">
              <w:rPr>
                <w:rFonts w:asciiTheme="minorHAnsi" w:eastAsia="Times New Roman" w:hAnsiTheme="minorHAnsi" w:cstheme="minorHAnsi"/>
                <w:color w:val="434343"/>
                <w:lang w:val="fr-FR"/>
              </w:rPr>
              <w:t>orientale.</w:t>
            </w:r>
            <w:r w:rsidRPr="005472E4">
              <w:rPr>
                <w:rFonts w:asciiTheme="minorHAnsi" w:hAnsiTheme="minorHAnsi" w:cstheme="minorHAnsi"/>
                <w:lang w:val="fr-FR"/>
              </w:rPr>
              <w:t xml:space="preserve"> Tous les pays sont touchés, mais l’incidence est plus élevée dans les pays à revenu faible ou intermédiaire. Plus de 85 % des femmes touchées sont jeunes, peu éduquées, et vivent dans les pays les plus pauvres du monde. Beaucoup sont aussi les mères de jeunes enfants dont la survie est ensuite compromise par le décès prématuré de leur mère. </w:t>
            </w:r>
          </w:p>
          <w:p w14:paraId="11EFB244" w14:textId="77777777" w:rsidR="005472E4" w:rsidRP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lang w:val="fr-FR"/>
              </w:rPr>
              <w:t>Pour éliminer le cancer du col de l’utérus en tant que problème de santé publique, il faut agir d’urgence et prendre des mesures audacieuses pour généraliser et soutenir les interventions fondées sur des bases factuelles (vaccination contre le papillomavirus humain (VPH), dépistage du cancer du col de l’utérus et prise en charge des cas détectés), mais ces mesures doivent être stratégiques.</w:t>
            </w:r>
          </w:p>
          <w:p w14:paraId="3396A149" w14:textId="77777777" w:rsidR="005472E4" w:rsidRP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lang w:val="fr-FR"/>
              </w:rPr>
              <w:t xml:space="preserve">La recherche a démontré qu'une dose unique de vaccin contre le VPH est suffisante pour provoquer une réponse immunitaire qui offre une protection similaire à celle d'un schéma multidose contre l'infection initiale et persistante par le VPH. La stratégie mondiale en vue d’accélérer l’élimination du cancer du col de l’utérus tant que problème de santé publique recommande entre autres que 90% des filles soient entièrement vaccinées contre le papillomavirus humain à l’âge de 15 ans ; afin de réduire à long terme le risque de développer un cancer du col de l’utérus. </w:t>
            </w:r>
          </w:p>
          <w:p w14:paraId="3787C5D5" w14:textId="77777777" w:rsid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lang w:val="fr-FR"/>
              </w:rPr>
              <w:t>Dans le souci de garantir la santé optimale des adolescents et prévenir le cancer du col de l’utérus, le ministère de la Santé de Djibouti compte introduire dans son calendrier vaccinal le vaccin contre le HPV. Ce qui nécessitera la mise des actions de communication et de mobilisation sociale à l’échelle nationale, fondées sur des bases factuelles afin de comprendre les obstacles sociaux, culturels, sociétaux pouvant nuire à l’acceptation du vaccin parmi le grand public et stimuler la demande</w:t>
            </w:r>
          </w:p>
          <w:p w14:paraId="181FD635" w14:textId="44F75224" w:rsidR="005472E4" w:rsidRPr="005472E4" w:rsidRDefault="005472E4" w:rsidP="00EE6DB4">
            <w:pPr>
              <w:spacing w:line="240" w:lineRule="auto"/>
              <w:jc w:val="both"/>
              <w:rPr>
                <w:rFonts w:asciiTheme="minorHAnsi" w:hAnsiTheme="minorHAnsi" w:cstheme="minorHAnsi"/>
                <w:lang w:val="fr-FR"/>
              </w:rPr>
            </w:pPr>
            <w:r w:rsidRPr="005472E4">
              <w:rPr>
                <w:rFonts w:asciiTheme="minorHAnsi" w:hAnsiTheme="minorHAnsi" w:cstheme="minorHAnsi"/>
                <w:w w:val="105"/>
                <w:lang w:val="fr-FR"/>
              </w:rPr>
              <w:t>Les</w:t>
            </w:r>
            <w:r w:rsidRPr="005472E4">
              <w:rPr>
                <w:rFonts w:asciiTheme="minorHAnsi" w:hAnsiTheme="minorHAnsi" w:cstheme="minorHAnsi"/>
                <w:spacing w:val="-7"/>
                <w:w w:val="105"/>
                <w:lang w:val="fr-FR"/>
              </w:rPr>
              <w:t xml:space="preserve"> </w:t>
            </w:r>
            <w:r w:rsidRPr="005472E4">
              <w:rPr>
                <w:rFonts w:asciiTheme="minorHAnsi" w:hAnsiTheme="minorHAnsi" w:cstheme="minorHAnsi"/>
                <w:w w:val="105"/>
                <w:lang w:val="fr-FR"/>
              </w:rPr>
              <w:t>présents</w:t>
            </w:r>
            <w:r w:rsidRPr="005472E4">
              <w:rPr>
                <w:rFonts w:asciiTheme="minorHAnsi" w:hAnsiTheme="minorHAnsi" w:cstheme="minorHAnsi"/>
                <w:spacing w:val="-6"/>
                <w:w w:val="105"/>
                <w:lang w:val="fr-FR"/>
              </w:rPr>
              <w:t xml:space="preserve"> </w:t>
            </w:r>
            <w:r w:rsidRPr="005472E4">
              <w:rPr>
                <w:rFonts w:asciiTheme="minorHAnsi" w:hAnsiTheme="minorHAnsi" w:cstheme="minorHAnsi"/>
                <w:w w:val="105"/>
                <w:lang w:val="fr-FR"/>
              </w:rPr>
              <w:t>termes</w:t>
            </w:r>
            <w:r w:rsidRPr="005472E4">
              <w:rPr>
                <w:rFonts w:asciiTheme="minorHAnsi" w:hAnsiTheme="minorHAnsi" w:cstheme="minorHAnsi"/>
                <w:spacing w:val="-3"/>
                <w:w w:val="105"/>
                <w:lang w:val="fr-FR"/>
              </w:rPr>
              <w:t xml:space="preserve"> </w:t>
            </w:r>
            <w:r w:rsidRPr="005472E4">
              <w:rPr>
                <w:rFonts w:asciiTheme="minorHAnsi" w:hAnsiTheme="minorHAnsi" w:cstheme="minorHAnsi"/>
                <w:w w:val="105"/>
                <w:lang w:val="fr-FR"/>
              </w:rPr>
              <w:t>de</w:t>
            </w:r>
            <w:r w:rsidRPr="005472E4">
              <w:rPr>
                <w:rFonts w:asciiTheme="minorHAnsi" w:hAnsiTheme="minorHAnsi" w:cstheme="minorHAnsi"/>
                <w:spacing w:val="-8"/>
                <w:w w:val="105"/>
                <w:lang w:val="fr-FR"/>
              </w:rPr>
              <w:t xml:space="preserve"> </w:t>
            </w:r>
            <w:r w:rsidRPr="005472E4">
              <w:rPr>
                <w:rFonts w:asciiTheme="minorHAnsi" w:hAnsiTheme="minorHAnsi" w:cstheme="minorHAnsi"/>
                <w:w w:val="105"/>
                <w:lang w:val="fr-FR"/>
              </w:rPr>
              <w:t>références</w:t>
            </w:r>
            <w:r w:rsidRPr="005472E4">
              <w:rPr>
                <w:rFonts w:asciiTheme="minorHAnsi" w:hAnsiTheme="minorHAnsi" w:cstheme="minorHAnsi"/>
                <w:spacing w:val="-6"/>
                <w:w w:val="105"/>
                <w:lang w:val="fr-FR"/>
              </w:rPr>
              <w:t xml:space="preserve"> </w:t>
            </w:r>
            <w:r w:rsidRPr="005472E4">
              <w:rPr>
                <w:rFonts w:asciiTheme="minorHAnsi" w:hAnsiTheme="minorHAnsi" w:cstheme="minorHAnsi"/>
                <w:w w:val="105"/>
                <w:lang w:val="fr-FR"/>
              </w:rPr>
              <w:t>visent</w:t>
            </w:r>
            <w:r w:rsidRPr="005472E4">
              <w:rPr>
                <w:rFonts w:asciiTheme="minorHAnsi" w:hAnsiTheme="minorHAnsi" w:cstheme="minorHAnsi"/>
                <w:spacing w:val="-4"/>
                <w:w w:val="105"/>
                <w:lang w:val="fr-FR"/>
              </w:rPr>
              <w:t xml:space="preserve"> </w:t>
            </w:r>
            <w:r w:rsidRPr="005472E4">
              <w:rPr>
                <w:rFonts w:asciiTheme="minorHAnsi" w:hAnsiTheme="minorHAnsi" w:cstheme="minorHAnsi"/>
                <w:w w:val="105"/>
                <w:lang w:val="fr-FR"/>
              </w:rPr>
              <w:t>à</w:t>
            </w:r>
            <w:r w:rsidRPr="005472E4">
              <w:rPr>
                <w:rFonts w:asciiTheme="minorHAnsi" w:hAnsiTheme="minorHAnsi" w:cstheme="minorHAnsi"/>
                <w:spacing w:val="-8"/>
                <w:w w:val="105"/>
                <w:lang w:val="fr-FR"/>
              </w:rPr>
              <w:t xml:space="preserve"> </w:t>
            </w:r>
            <w:r w:rsidRPr="005472E4">
              <w:rPr>
                <w:rFonts w:asciiTheme="minorHAnsi" w:hAnsiTheme="minorHAnsi" w:cstheme="minorHAnsi"/>
                <w:w w:val="105"/>
                <w:lang w:val="fr-FR"/>
              </w:rPr>
              <w:t>recruter</w:t>
            </w:r>
            <w:r w:rsidRPr="005472E4">
              <w:rPr>
                <w:rFonts w:asciiTheme="minorHAnsi" w:hAnsiTheme="minorHAnsi" w:cstheme="minorHAnsi"/>
                <w:spacing w:val="-5"/>
                <w:w w:val="105"/>
                <w:lang w:val="fr-FR"/>
              </w:rPr>
              <w:t xml:space="preserve"> </w:t>
            </w:r>
            <w:r w:rsidRPr="005472E4">
              <w:rPr>
                <w:rFonts w:asciiTheme="minorHAnsi" w:hAnsiTheme="minorHAnsi" w:cstheme="minorHAnsi"/>
                <w:w w:val="105"/>
                <w:lang w:val="fr-FR"/>
              </w:rPr>
              <w:t>un</w:t>
            </w:r>
            <w:r w:rsidRPr="005472E4">
              <w:rPr>
                <w:rFonts w:asciiTheme="minorHAnsi" w:hAnsiTheme="minorHAnsi" w:cstheme="minorHAnsi"/>
                <w:spacing w:val="-8"/>
                <w:w w:val="105"/>
                <w:lang w:val="fr-FR"/>
              </w:rPr>
              <w:t xml:space="preserve"> </w:t>
            </w:r>
            <w:r w:rsidRPr="005472E4">
              <w:rPr>
                <w:rFonts w:asciiTheme="minorHAnsi" w:hAnsiTheme="minorHAnsi" w:cstheme="minorHAnsi"/>
                <w:w w:val="105"/>
                <w:lang w:val="fr-FR"/>
              </w:rPr>
              <w:t>consultant international</w:t>
            </w:r>
            <w:r w:rsidRPr="005472E4">
              <w:rPr>
                <w:rFonts w:asciiTheme="minorHAnsi" w:hAnsiTheme="minorHAnsi" w:cstheme="minorHAnsi"/>
                <w:spacing w:val="-8"/>
                <w:w w:val="105"/>
                <w:lang w:val="fr-FR"/>
              </w:rPr>
              <w:t xml:space="preserve"> </w:t>
            </w:r>
            <w:r>
              <w:rPr>
                <w:rFonts w:asciiTheme="minorHAnsi" w:hAnsiTheme="minorHAnsi" w:cstheme="minorHAnsi"/>
                <w:spacing w:val="-8"/>
                <w:w w:val="105"/>
                <w:lang w:val="fr-FR"/>
              </w:rPr>
              <w:t xml:space="preserve">en </w:t>
            </w:r>
            <w:r w:rsidRPr="005472E4">
              <w:rPr>
                <w:rFonts w:asciiTheme="minorHAnsi" w:hAnsiTheme="minorHAnsi" w:cstheme="minorHAnsi"/>
                <w:w w:val="105"/>
                <w:lang w:val="fr-FR"/>
              </w:rPr>
              <w:t>changement</w:t>
            </w:r>
            <w:r w:rsidRPr="005472E4">
              <w:rPr>
                <w:rFonts w:asciiTheme="minorHAnsi" w:hAnsiTheme="minorHAnsi" w:cstheme="minorHAnsi"/>
                <w:spacing w:val="-8"/>
                <w:w w:val="105"/>
                <w:lang w:val="fr-FR"/>
              </w:rPr>
              <w:t xml:space="preserve"> </w:t>
            </w:r>
            <w:r w:rsidRPr="005472E4">
              <w:rPr>
                <w:rFonts w:asciiTheme="minorHAnsi" w:hAnsiTheme="minorHAnsi" w:cstheme="minorHAnsi"/>
                <w:w w:val="105"/>
                <w:lang w:val="fr-FR"/>
              </w:rPr>
              <w:t>social</w:t>
            </w:r>
            <w:r w:rsidRPr="005472E4">
              <w:rPr>
                <w:rFonts w:asciiTheme="minorHAnsi" w:hAnsiTheme="minorHAnsi" w:cstheme="minorHAnsi"/>
                <w:spacing w:val="-8"/>
                <w:w w:val="105"/>
                <w:lang w:val="fr-FR"/>
              </w:rPr>
              <w:t xml:space="preserve"> </w:t>
            </w:r>
            <w:r w:rsidRPr="005472E4">
              <w:rPr>
                <w:rFonts w:asciiTheme="minorHAnsi" w:hAnsiTheme="minorHAnsi" w:cstheme="minorHAnsi"/>
                <w:w w:val="105"/>
                <w:lang w:val="fr-FR"/>
              </w:rPr>
              <w:t>comportemental</w:t>
            </w:r>
            <w:r w:rsidRPr="005472E4">
              <w:rPr>
                <w:rFonts w:asciiTheme="minorHAnsi" w:hAnsiTheme="minorHAnsi" w:cstheme="minorHAnsi"/>
                <w:spacing w:val="-51"/>
                <w:w w:val="105"/>
                <w:lang w:val="fr-FR"/>
              </w:rPr>
              <w:t xml:space="preserve">              </w:t>
            </w:r>
            <w:r w:rsidRPr="005472E4">
              <w:rPr>
                <w:rFonts w:asciiTheme="minorHAnsi" w:hAnsiTheme="minorHAnsi" w:cstheme="minorHAnsi"/>
                <w:w w:val="105"/>
                <w:lang w:val="fr-FR"/>
              </w:rPr>
              <w:t>afin d’apporter un appui au Programme Elargi de Vaccination (PEV) et la Direction de la Promotion de la Santé (DPS) pour la planification, la mise en œuvre,</w:t>
            </w:r>
            <w:r w:rsidRPr="005472E4">
              <w:rPr>
                <w:rFonts w:asciiTheme="minorHAnsi" w:hAnsiTheme="minorHAnsi" w:cstheme="minorHAnsi"/>
                <w:spacing w:val="1"/>
                <w:w w:val="105"/>
                <w:lang w:val="fr-FR"/>
              </w:rPr>
              <w:t xml:space="preserve"> </w:t>
            </w:r>
            <w:r w:rsidRPr="005472E4">
              <w:rPr>
                <w:rFonts w:asciiTheme="minorHAnsi" w:hAnsiTheme="minorHAnsi" w:cstheme="minorHAnsi"/>
                <w:lang w:val="fr-FR"/>
              </w:rPr>
              <w:t>le suivi et la documentation de stratégies de communication efficaces pour la génération de la demande</w:t>
            </w:r>
            <w:r w:rsidRPr="005472E4">
              <w:rPr>
                <w:rFonts w:asciiTheme="minorHAnsi" w:hAnsiTheme="minorHAnsi" w:cstheme="minorHAnsi"/>
                <w:spacing w:val="1"/>
                <w:lang w:val="fr-FR"/>
              </w:rPr>
              <w:t xml:space="preserve"> </w:t>
            </w:r>
            <w:r w:rsidRPr="005472E4">
              <w:rPr>
                <w:rFonts w:asciiTheme="minorHAnsi" w:hAnsiTheme="minorHAnsi" w:cstheme="minorHAnsi"/>
                <w:w w:val="105"/>
                <w:lang w:val="fr-FR"/>
              </w:rPr>
              <w:t>dans le cadre de l’introduction du nouveau vaccin HPV à Djibouti.</w:t>
            </w:r>
          </w:p>
          <w:p w14:paraId="26F4790D" w14:textId="77777777" w:rsidR="00EE6DB4" w:rsidRPr="0030067E" w:rsidRDefault="005472E4" w:rsidP="00EE6DB4">
            <w:pPr>
              <w:pStyle w:val="Heading1"/>
              <w:numPr>
                <w:ilvl w:val="0"/>
                <w:numId w:val="27"/>
              </w:numPr>
              <w:tabs>
                <w:tab w:val="num" w:pos="360"/>
                <w:tab w:val="num" w:pos="720"/>
                <w:tab w:val="left" w:pos="871"/>
              </w:tabs>
              <w:spacing w:after="0"/>
              <w:ind w:left="720" w:hanging="341"/>
              <w:rPr>
                <w:rFonts w:asciiTheme="minorHAnsi" w:hAnsiTheme="minorHAnsi" w:cstheme="minorHAnsi"/>
                <w:color w:val="212A34"/>
                <w:sz w:val="20"/>
                <w:szCs w:val="20"/>
              </w:rPr>
            </w:pPr>
            <w:r w:rsidRPr="001A041F">
              <w:rPr>
                <w:lang w:val="fr-FR"/>
              </w:rPr>
              <w:t xml:space="preserve"> </w:t>
            </w:r>
            <w:r w:rsidR="00EE6DB4" w:rsidRPr="0030067E">
              <w:rPr>
                <w:rFonts w:asciiTheme="minorHAnsi" w:hAnsiTheme="minorHAnsi" w:cstheme="minorHAnsi"/>
                <w:color w:val="212A34"/>
                <w:w w:val="105"/>
                <w:sz w:val="20"/>
                <w:szCs w:val="20"/>
              </w:rPr>
              <w:t>Objectif</w:t>
            </w:r>
            <w:r w:rsidR="00EE6DB4" w:rsidRPr="0030067E">
              <w:rPr>
                <w:rFonts w:asciiTheme="minorHAnsi" w:hAnsiTheme="minorHAnsi" w:cstheme="minorHAnsi"/>
                <w:color w:val="212A34"/>
                <w:spacing w:val="-8"/>
                <w:w w:val="105"/>
                <w:sz w:val="20"/>
                <w:szCs w:val="20"/>
              </w:rPr>
              <w:t xml:space="preserve"> </w:t>
            </w:r>
            <w:r w:rsidR="00EE6DB4" w:rsidRPr="0030067E">
              <w:rPr>
                <w:rFonts w:asciiTheme="minorHAnsi" w:hAnsiTheme="minorHAnsi" w:cstheme="minorHAnsi"/>
                <w:color w:val="212A34"/>
                <w:w w:val="105"/>
                <w:sz w:val="20"/>
                <w:szCs w:val="20"/>
              </w:rPr>
              <w:t>général</w:t>
            </w:r>
          </w:p>
          <w:p w14:paraId="77AE958C" w14:textId="642E1BEB" w:rsidR="00EE6DB4" w:rsidRPr="00EE6DB4" w:rsidRDefault="00EE6DB4" w:rsidP="00E42815">
            <w:pPr>
              <w:pStyle w:val="BodyText"/>
              <w:spacing w:before="119" w:after="0" w:line="252" w:lineRule="auto"/>
              <w:ind w:right="187"/>
              <w:jc w:val="both"/>
              <w:rPr>
                <w:rFonts w:asciiTheme="minorHAnsi" w:hAnsiTheme="minorHAnsi" w:cstheme="minorHAnsi"/>
                <w:lang w:val="fr-FR"/>
              </w:rPr>
            </w:pPr>
            <w:r w:rsidRPr="00EE6DB4">
              <w:rPr>
                <w:rFonts w:asciiTheme="minorHAnsi" w:hAnsiTheme="minorHAnsi" w:cstheme="minorHAnsi"/>
                <w:spacing w:val="-1"/>
                <w:w w:val="105"/>
                <w:lang w:val="fr-FR"/>
              </w:rPr>
              <w:t>Sous</w:t>
            </w:r>
            <w:r w:rsidRPr="00EE6DB4">
              <w:rPr>
                <w:rFonts w:asciiTheme="minorHAnsi" w:hAnsiTheme="minorHAnsi" w:cstheme="minorHAnsi"/>
                <w:spacing w:val="-8"/>
                <w:w w:val="105"/>
                <w:lang w:val="fr-FR"/>
              </w:rPr>
              <w:t xml:space="preserve"> </w:t>
            </w:r>
            <w:r w:rsidRPr="00EE6DB4">
              <w:rPr>
                <w:rFonts w:asciiTheme="minorHAnsi" w:hAnsiTheme="minorHAnsi" w:cstheme="minorHAnsi"/>
                <w:spacing w:val="-1"/>
                <w:w w:val="105"/>
                <w:lang w:val="fr-FR"/>
              </w:rPr>
              <w:t>la</w:t>
            </w:r>
            <w:r w:rsidRPr="00EE6DB4">
              <w:rPr>
                <w:rFonts w:asciiTheme="minorHAnsi" w:hAnsiTheme="minorHAnsi" w:cstheme="minorHAnsi"/>
                <w:spacing w:val="-11"/>
                <w:w w:val="105"/>
                <w:lang w:val="fr-FR"/>
              </w:rPr>
              <w:t xml:space="preserve"> </w:t>
            </w:r>
            <w:r w:rsidRPr="00EE6DB4">
              <w:rPr>
                <w:rFonts w:asciiTheme="minorHAnsi" w:hAnsiTheme="minorHAnsi" w:cstheme="minorHAnsi"/>
                <w:w w:val="105"/>
                <w:lang w:val="fr-FR"/>
              </w:rPr>
              <w:t>supervision conjointe</w:t>
            </w:r>
            <w:r w:rsidRPr="00EE6DB4">
              <w:rPr>
                <w:rFonts w:asciiTheme="minorHAnsi" w:hAnsiTheme="minorHAnsi" w:cstheme="minorHAnsi"/>
                <w:spacing w:val="-12"/>
                <w:w w:val="105"/>
                <w:lang w:val="fr-FR"/>
              </w:rPr>
              <w:t xml:space="preserve"> </w:t>
            </w:r>
            <w:r w:rsidRPr="00EE6DB4">
              <w:rPr>
                <w:rFonts w:asciiTheme="minorHAnsi" w:hAnsiTheme="minorHAnsi" w:cstheme="minorHAnsi"/>
                <w:w w:val="105"/>
                <w:lang w:val="fr-FR"/>
              </w:rPr>
              <w:t>du Spécialiste</w:t>
            </w:r>
            <w:r w:rsidRPr="00EE6DB4">
              <w:rPr>
                <w:rFonts w:asciiTheme="minorHAnsi" w:hAnsiTheme="minorHAnsi" w:cstheme="minorHAnsi"/>
                <w:spacing w:val="-11"/>
                <w:w w:val="105"/>
                <w:lang w:val="fr-FR"/>
              </w:rPr>
              <w:t xml:space="preserve"> </w:t>
            </w:r>
            <w:r w:rsidRPr="00EE6DB4">
              <w:rPr>
                <w:rFonts w:asciiTheme="minorHAnsi" w:hAnsiTheme="minorHAnsi" w:cstheme="minorHAnsi"/>
                <w:w w:val="105"/>
                <w:lang w:val="fr-FR"/>
              </w:rPr>
              <w:t>Changement</w:t>
            </w:r>
            <w:r w:rsidRPr="00EE6DB4">
              <w:rPr>
                <w:rFonts w:asciiTheme="minorHAnsi" w:hAnsiTheme="minorHAnsi" w:cstheme="minorHAnsi"/>
                <w:spacing w:val="-9"/>
                <w:w w:val="105"/>
                <w:lang w:val="fr-FR"/>
              </w:rPr>
              <w:t xml:space="preserve"> </w:t>
            </w:r>
            <w:r w:rsidRPr="00EE6DB4">
              <w:rPr>
                <w:rFonts w:asciiTheme="minorHAnsi" w:hAnsiTheme="minorHAnsi" w:cstheme="minorHAnsi"/>
                <w:w w:val="105"/>
                <w:lang w:val="fr-FR"/>
              </w:rPr>
              <w:t>Social</w:t>
            </w:r>
            <w:r w:rsidRPr="00EE6DB4">
              <w:rPr>
                <w:rFonts w:asciiTheme="minorHAnsi" w:hAnsiTheme="minorHAnsi" w:cstheme="minorHAnsi"/>
                <w:spacing w:val="-13"/>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9"/>
                <w:w w:val="105"/>
                <w:lang w:val="fr-FR"/>
              </w:rPr>
              <w:t xml:space="preserve"> </w:t>
            </w:r>
            <w:r w:rsidRPr="00EE6DB4">
              <w:rPr>
                <w:rFonts w:asciiTheme="minorHAnsi" w:hAnsiTheme="minorHAnsi" w:cstheme="minorHAnsi"/>
                <w:w w:val="105"/>
                <w:lang w:val="fr-FR"/>
              </w:rPr>
              <w:t>Comportemental et du Chef section santé,</w:t>
            </w:r>
            <w:r w:rsidRPr="00EE6DB4">
              <w:rPr>
                <w:rFonts w:asciiTheme="minorHAnsi" w:hAnsiTheme="minorHAnsi" w:cstheme="minorHAnsi"/>
                <w:spacing w:val="-11"/>
                <w:w w:val="105"/>
                <w:lang w:val="fr-FR"/>
              </w:rPr>
              <w:t xml:space="preserve"> </w:t>
            </w:r>
            <w:r w:rsidRPr="00EE6DB4">
              <w:rPr>
                <w:rFonts w:asciiTheme="minorHAnsi" w:hAnsiTheme="minorHAnsi" w:cstheme="minorHAnsi"/>
                <w:w w:val="105"/>
                <w:lang w:val="fr-FR"/>
              </w:rPr>
              <w:t>le</w:t>
            </w:r>
            <w:r w:rsidRPr="00EE6DB4">
              <w:rPr>
                <w:rFonts w:asciiTheme="minorHAnsi" w:hAnsiTheme="minorHAnsi" w:cstheme="minorHAnsi"/>
                <w:spacing w:val="-9"/>
                <w:w w:val="105"/>
                <w:lang w:val="fr-FR"/>
              </w:rPr>
              <w:t xml:space="preserve"> </w:t>
            </w:r>
            <w:r w:rsidRPr="00EE6DB4">
              <w:rPr>
                <w:rFonts w:asciiTheme="minorHAnsi" w:hAnsiTheme="minorHAnsi" w:cstheme="minorHAnsi"/>
                <w:w w:val="105"/>
                <w:lang w:val="fr-FR"/>
              </w:rPr>
              <w:t>Consultant</w:t>
            </w:r>
            <w:r w:rsidRPr="00EE6DB4">
              <w:rPr>
                <w:rFonts w:asciiTheme="minorHAnsi" w:hAnsiTheme="minorHAnsi" w:cstheme="minorHAnsi"/>
                <w:spacing w:val="-8"/>
                <w:w w:val="105"/>
                <w:lang w:val="fr-FR"/>
              </w:rPr>
              <w:t xml:space="preserve"> </w:t>
            </w:r>
            <w:r w:rsidRPr="00EE6DB4">
              <w:rPr>
                <w:rFonts w:asciiTheme="minorHAnsi" w:hAnsiTheme="minorHAnsi" w:cstheme="minorHAnsi"/>
                <w:w w:val="105"/>
                <w:lang w:val="fr-FR"/>
              </w:rPr>
              <w:t>international SBC immunisation, apportera un appui technique et opérationnel à la planification, la mise en œuvre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et au suivi et évaluation des stratégies CSC basées sur des évidences contribuant à l’amélioration de</w:t>
            </w:r>
            <w:r w:rsidRPr="00EE6DB4">
              <w:rPr>
                <w:rFonts w:asciiTheme="minorHAnsi" w:hAnsiTheme="minorHAnsi" w:cstheme="minorHAnsi"/>
                <w:spacing w:val="-50"/>
                <w:w w:val="105"/>
                <w:lang w:val="fr-FR"/>
              </w:rPr>
              <w:t xml:space="preserve"> </w:t>
            </w:r>
            <w:r w:rsidRPr="00EE6DB4">
              <w:rPr>
                <w:rFonts w:asciiTheme="minorHAnsi" w:hAnsiTheme="minorHAnsi" w:cstheme="minorHAnsi"/>
                <w:w w:val="105"/>
                <w:lang w:val="fr-FR"/>
              </w:rPr>
              <w:t>la demande dans le cadre de l’introduction du nouveau vaccin anti HPV avec</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l’engagement effectif des partenaires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gouvernementaux, des communautés et de la société civile contribuant  à accroître l’immunité des populations cibles et les protéger contre les maladies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évitables</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par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vaccination.</w:t>
            </w:r>
          </w:p>
          <w:p w14:paraId="7FAC1BAF" w14:textId="77777777" w:rsidR="00EE6DB4" w:rsidRPr="0030067E" w:rsidRDefault="00EE6DB4" w:rsidP="00EE6DB4">
            <w:pPr>
              <w:pStyle w:val="Heading1"/>
              <w:numPr>
                <w:ilvl w:val="0"/>
                <w:numId w:val="27"/>
              </w:numPr>
              <w:tabs>
                <w:tab w:val="num" w:pos="360"/>
                <w:tab w:val="num" w:pos="720"/>
                <w:tab w:val="left" w:pos="871"/>
              </w:tabs>
              <w:spacing w:after="0"/>
              <w:ind w:hanging="341"/>
              <w:rPr>
                <w:rFonts w:asciiTheme="minorHAnsi" w:hAnsiTheme="minorHAnsi" w:cstheme="minorHAnsi"/>
                <w:color w:val="212A34"/>
                <w:sz w:val="20"/>
                <w:szCs w:val="20"/>
              </w:rPr>
            </w:pPr>
            <w:r w:rsidRPr="0030067E">
              <w:rPr>
                <w:rFonts w:asciiTheme="minorHAnsi" w:hAnsiTheme="minorHAnsi" w:cstheme="minorHAnsi"/>
                <w:color w:val="212A34"/>
                <w:w w:val="105"/>
                <w:sz w:val="20"/>
                <w:szCs w:val="20"/>
              </w:rPr>
              <w:t>Objectifs spécifiques</w:t>
            </w:r>
          </w:p>
          <w:p w14:paraId="08AF0449" w14:textId="77777777" w:rsidR="00EE6DB4" w:rsidRPr="00EE6DB4" w:rsidRDefault="00EE6DB4" w:rsidP="00EE6DB4">
            <w:pPr>
              <w:pStyle w:val="BodyText"/>
              <w:spacing w:before="4" w:after="0"/>
              <w:rPr>
                <w:rFonts w:asciiTheme="minorHAnsi" w:hAnsiTheme="minorHAnsi" w:cstheme="minorHAnsi"/>
                <w:b/>
                <w:lang w:val="fr-FR"/>
              </w:rPr>
            </w:pPr>
            <w:r w:rsidRPr="00EE6DB4">
              <w:rPr>
                <w:rFonts w:asciiTheme="minorHAnsi" w:hAnsiTheme="minorHAnsi" w:cstheme="minorHAnsi"/>
                <w:spacing w:val="-1"/>
                <w:w w:val="105"/>
                <w:lang w:val="fr-FR"/>
              </w:rPr>
              <w:t xml:space="preserve">  Plus spécifiquement, il s’agira de :</w:t>
            </w:r>
          </w:p>
          <w:p w14:paraId="3D4413CD" w14:textId="77777777" w:rsidR="00EE6DB4" w:rsidRPr="00EE6DB4" w:rsidRDefault="00EE6DB4" w:rsidP="00EE6DB4">
            <w:pPr>
              <w:pStyle w:val="ListParagraph"/>
              <w:widowControl w:val="0"/>
              <w:numPr>
                <w:ilvl w:val="0"/>
                <w:numId w:val="26"/>
              </w:numPr>
              <w:tabs>
                <w:tab w:val="left" w:pos="449"/>
              </w:tabs>
              <w:autoSpaceDE w:val="0"/>
              <w:autoSpaceDN w:val="0"/>
              <w:spacing w:line="240" w:lineRule="auto"/>
              <w:ind w:right="190"/>
              <w:contextualSpacing w:val="0"/>
              <w:rPr>
                <w:rFonts w:asciiTheme="minorHAnsi" w:hAnsiTheme="minorHAnsi" w:cstheme="minorHAnsi"/>
                <w:lang w:val="fr-FR"/>
              </w:rPr>
            </w:pPr>
            <w:r w:rsidRPr="00EE6DB4">
              <w:rPr>
                <w:rFonts w:asciiTheme="minorHAnsi" w:hAnsiTheme="minorHAnsi" w:cstheme="minorHAnsi"/>
                <w:w w:val="105"/>
                <w:lang w:val="fr-FR"/>
              </w:rPr>
              <w:t>Appuyer</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les</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structures</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techniques</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du</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ministère de la Santé</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dans</w:t>
            </w:r>
            <w:r w:rsidRPr="00EE6DB4">
              <w:rPr>
                <w:rFonts w:asciiTheme="minorHAnsi" w:hAnsiTheme="minorHAnsi" w:cstheme="minorHAnsi"/>
                <w:spacing w:val="8"/>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8"/>
                <w:w w:val="105"/>
                <w:lang w:val="fr-FR"/>
              </w:rPr>
              <w:t xml:space="preserve"> </w:t>
            </w:r>
            <w:r w:rsidRPr="00EE6DB4">
              <w:rPr>
                <w:rFonts w:asciiTheme="minorHAnsi" w:hAnsiTheme="minorHAnsi" w:cstheme="minorHAnsi"/>
                <w:w w:val="105"/>
                <w:lang w:val="fr-FR"/>
              </w:rPr>
              <w:t>conception,</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le</w:t>
            </w:r>
            <w:r w:rsidRPr="00EE6DB4">
              <w:rPr>
                <w:rFonts w:asciiTheme="minorHAnsi" w:hAnsiTheme="minorHAnsi" w:cstheme="minorHAnsi"/>
                <w:spacing w:val="6"/>
                <w:w w:val="105"/>
                <w:lang w:val="fr-FR"/>
              </w:rPr>
              <w:t xml:space="preserve"> </w:t>
            </w:r>
            <w:r w:rsidRPr="00EE6DB4">
              <w:rPr>
                <w:rFonts w:asciiTheme="minorHAnsi" w:hAnsiTheme="minorHAnsi" w:cstheme="minorHAnsi"/>
                <w:w w:val="105"/>
                <w:lang w:val="fr-FR"/>
              </w:rPr>
              <w:t>suivi</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l'évaluation</w:t>
            </w:r>
            <w:r w:rsidRPr="00EE6DB4">
              <w:rPr>
                <w:rFonts w:asciiTheme="minorHAnsi" w:hAnsiTheme="minorHAnsi" w:cstheme="minorHAnsi"/>
                <w:spacing w:val="11"/>
                <w:w w:val="105"/>
                <w:lang w:val="fr-FR"/>
              </w:rPr>
              <w:t xml:space="preserve"> </w:t>
            </w:r>
            <w:r w:rsidRPr="00EE6DB4">
              <w:rPr>
                <w:rFonts w:asciiTheme="minorHAnsi" w:hAnsiTheme="minorHAnsi" w:cstheme="minorHAnsi"/>
                <w:w w:val="105"/>
                <w:lang w:val="fr-FR"/>
              </w:rPr>
              <w:t>des</w:t>
            </w:r>
            <w:r w:rsidRPr="00EE6DB4">
              <w:rPr>
                <w:rFonts w:asciiTheme="minorHAnsi" w:hAnsiTheme="minorHAnsi" w:cstheme="minorHAnsi"/>
                <w:spacing w:val="6"/>
                <w:w w:val="105"/>
                <w:lang w:val="fr-FR"/>
              </w:rPr>
              <w:t xml:space="preserve"> </w:t>
            </w:r>
            <w:r w:rsidRPr="00EE6DB4">
              <w:rPr>
                <w:rFonts w:asciiTheme="minorHAnsi" w:hAnsiTheme="minorHAnsi" w:cstheme="minorHAnsi"/>
                <w:w w:val="105"/>
                <w:lang w:val="fr-FR"/>
              </w:rPr>
              <w:t>interventions</w:t>
            </w:r>
            <w:r w:rsidRPr="00EE6DB4">
              <w:rPr>
                <w:rFonts w:asciiTheme="minorHAnsi" w:hAnsiTheme="minorHAnsi" w:cstheme="minorHAnsi"/>
                <w:spacing w:val="9"/>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Changement</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Social</w:t>
            </w:r>
            <w:r w:rsidRPr="00EE6DB4">
              <w:rPr>
                <w:rFonts w:asciiTheme="minorHAnsi" w:hAnsiTheme="minorHAnsi" w:cstheme="minorHAnsi"/>
                <w:spacing w:val="7"/>
                <w:w w:val="105"/>
                <w:lang w:val="fr-FR"/>
              </w:rPr>
              <w:t xml:space="preserve"> </w:t>
            </w:r>
            <w:r w:rsidRPr="00EE6DB4">
              <w:rPr>
                <w:rFonts w:asciiTheme="minorHAnsi" w:hAnsiTheme="minorHAnsi" w:cstheme="minorHAnsi"/>
                <w:w w:val="105"/>
                <w:lang w:val="fr-FR"/>
              </w:rPr>
              <w:t>et Comportemental (CSC) visant le renforcement de la demande et l’utilisation des services de la</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vaccination</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routine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dans le cadre de l’introduction du vaccin anti HPV ;</w:t>
            </w:r>
          </w:p>
          <w:p w14:paraId="7536852C" w14:textId="69F0D92F" w:rsidR="008655EA" w:rsidRPr="008655EA" w:rsidRDefault="008655EA" w:rsidP="008655EA">
            <w:pPr>
              <w:pStyle w:val="ListParagraph"/>
              <w:widowControl w:val="0"/>
              <w:numPr>
                <w:ilvl w:val="0"/>
                <w:numId w:val="26"/>
              </w:numPr>
              <w:tabs>
                <w:tab w:val="left" w:pos="449"/>
              </w:tabs>
              <w:autoSpaceDE w:val="0"/>
              <w:autoSpaceDN w:val="0"/>
              <w:spacing w:before="109" w:line="244" w:lineRule="auto"/>
              <w:ind w:right="190"/>
              <w:contextualSpacing w:val="0"/>
              <w:jc w:val="both"/>
              <w:rPr>
                <w:rFonts w:asciiTheme="minorHAnsi" w:hAnsiTheme="minorHAnsi" w:cstheme="minorHAnsi"/>
                <w:lang w:val="fr-FR"/>
              </w:rPr>
            </w:pPr>
            <w:r w:rsidRPr="008655EA">
              <w:rPr>
                <w:rFonts w:asciiTheme="minorHAnsi" w:hAnsiTheme="minorHAnsi" w:cstheme="minorHAnsi"/>
                <w:lang w:val="fr-FR"/>
              </w:rPr>
              <w:t>Analyser les barrières comportementales majeures ainsi que les motivations individuelles et collectives de la demande et l’utilisation des services vaccination contre le HPV à toutes les étapes du parcours de soins</w:t>
            </w:r>
          </w:p>
          <w:p w14:paraId="78DC7D35" w14:textId="77777777" w:rsidR="00EE6DB4" w:rsidRPr="00F50C59" w:rsidRDefault="00EE6DB4" w:rsidP="00EE6DB4">
            <w:pPr>
              <w:pStyle w:val="ListParagraph"/>
              <w:widowControl w:val="0"/>
              <w:numPr>
                <w:ilvl w:val="0"/>
                <w:numId w:val="26"/>
              </w:numPr>
              <w:tabs>
                <w:tab w:val="left" w:pos="449"/>
              </w:tabs>
              <w:autoSpaceDE w:val="0"/>
              <w:autoSpaceDN w:val="0"/>
              <w:spacing w:before="119" w:line="249" w:lineRule="auto"/>
              <w:ind w:right="188"/>
              <w:contextualSpacing w:val="0"/>
              <w:jc w:val="both"/>
              <w:rPr>
                <w:rFonts w:asciiTheme="minorHAnsi" w:hAnsiTheme="minorHAnsi" w:cstheme="minorHAnsi"/>
                <w:lang w:val="fr-FR"/>
              </w:rPr>
            </w:pPr>
            <w:r w:rsidRPr="00EE6DB4">
              <w:rPr>
                <w:rFonts w:asciiTheme="minorHAnsi" w:hAnsiTheme="minorHAnsi" w:cstheme="minorHAnsi"/>
                <w:w w:val="105"/>
                <w:lang w:val="fr-FR"/>
              </w:rPr>
              <w:t>Appuyer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planification,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mise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œuvre,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suivi</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évaluation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stratégie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efficace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communication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pour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générer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 confiance,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l’acceptation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du</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vaccin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anti HPV</w:t>
            </w:r>
            <w:r w:rsidRPr="00EE6DB4">
              <w:rPr>
                <w:rFonts w:asciiTheme="minorHAnsi" w:hAnsiTheme="minorHAnsi" w:cstheme="minorHAnsi"/>
                <w:spacing w:val="1"/>
                <w:w w:val="105"/>
                <w:lang w:val="fr-FR"/>
              </w:rPr>
              <w:t xml:space="preserve"> </w:t>
            </w:r>
            <w:r w:rsidRPr="00EE6DB4">
              <w:rPr>
                <w:rFonts w:asciiTheme="minorHAnsi" w:hAnsiTheme="minorHAnsi" w:cstheme="minorHAnsi"/>
                <w:lang w:val="fr-FR"/>
              </w:rPr>
              <w:t>à</w:t>
            </w:r>
            <w:r w:rsidRPr="00EE6DB4">
              <w:rPr>
                <w:rFonts w:asciiTheme="minorHAnsi" w:hAnsiTheme="minorHAnsi" w:cstheme="minorHAnsi"/>
                <w:spacing w:val="15"/>
                <w:lang w:val="fr-FR"/>
              </w:rPr>
              <w:t xml:space="preserve"> </w:t>
            </w:r>
            <w:r w:rsidRPr="00EE6DB4">
              <w:rPr>
                <w:rFonts w:asciiTheme="minorHAnsi" w:hAnsiTheme="minorHAnsi" w:cstheme="minorHAnsi"/>
                <w:lang w:val="fr-FR"/>
              </w:rPr>
              <w:t>travers</w:t>
            </w:r>
            <w:r w:rsidRPr="00EE6DB4">
              <w:rPr>
                <w:rFonts w:asciiTheme="minorHAnsi" w:hAnsiTheme="minorHAnsi" w:cstheme="minorHAnsi"/>
                <w:spacing w:val="15"/>
                <w:lang w:val="fr-FR"/>
              </w:rPr>
              <w:t xml:space="preserve"> </w:t>
            </w:r>
            <w:r w:rsidRPr="00EE6DB4">
              <w:rPr>
                <w:rFonts w:asciiTheme="minorHAnsi" w:hAnsiTheme="minorHAnsi" w:cstheme="minorHAnsi"/>
                <w:lang w:val="fr-FR"/>
              </w:rPr>
              <w:t>:</w:t>
            </w:r>
            <w:r w:rsidRPr="00EE6DB4">
              <w:rPr>
                <w:rFonts w:asciiTheme="minorHAnsi" w:hAnsiTheme="minorHAnsi" w:cstheme="minorHAnsi"/>
                <w:spacing w:val="17"/>
                <w:lang w:val="fr-FR"/>
              </w:rPr>
              <w:t xml:space="preserve"> </w:t>
            </w:r>
            <w:r w:rsidRPr="00EE6DB4">
              <w:rPr>
                <w:rFonts w:asciiTheme="minorHAnsi" w:hAnsiTheme="minorHAnsi" w:cstheme="minorHAnsi"/>
                <w:lang w:val="fr-FR"/>
              </w:rPr>
              <w:t>la</w:t>
            </w:r>
            <w:r w:rsidRPr="00EE6DB4">
              <w:rPr>
                <w:rFonts w:asciiTheme="minorHAnsi" w:hAnsiTheme="minorHAnsi" w:cstheme="minorHAnsi"/>
                <w:spacing w:val="12"/>
                <w:lang w:val="fr-FR"/>
              </w:rPr>
              <w:t xml:space="preserve"> </w:t>
            </w:r>
            <w:r w:rsidRPr="00EE6DB4">
              <w:rPr>
                <w:rFonts w:asciiTheme="minorHAnsi" w:hAnsiTheme="minorHAnsi" w:cstheme="minorHAnsi"/>
                <w:lang w:val="fr-FR"/>
              </w:rPr>
              <w:t>recherche</w:t>
            </w:r>
            <w:r w:rsidRPr="00EE6DB4">
              <w:rPr>
                <w:rFonts w:asciiTheme="minorHAnsi" w:hAnsiTheme="minorHAnsi" w:cstheme="minorHAnsi"/>
                <w:spacing w:val="15"/>
                <w:lang w:val="fr-FR"/>
              </w:rPr>
              <w:t xml:space="preserve"> </w:t>
            </w:r>
            <w:r w:rsidRPr="00EE6DB4">
              <w:rPr>
                <w:rFonts w:asciiTheme="minorHAnsi" w:hAnsiTheme="minorHAnsi" w:cstheme="minorHAnsi"/>
                <w:lang w:val="fr-FR"/>
              </w:rPr>
              <w:t xml:space="preserve">opérationnelle (étude </w:t>
            </w:r>
            <w:r w:rsidRPr="00EE6DB4">
              <w:rPr>
                <w:rFonts w:asciiTheme="minorHAnsi" w:hAnsiTheme="minorHAnsi" w:cstheme="minorHAnsi"/>
                <w:lang w:val="fr-FR"/>
              </w:rPr>
              <w:lastRenderedPageBreak/>
              <w:t>CAP),</w:t>
            </w:r>
            <w:r w:rsidRPr="00EE6DB4">
              <w:rPr>
                <w:rFonts w:asciiTheme="minorHAnsi" w:hAnsiTheme="minorHAnsi" w:cstheme="minorHAnsi"/>
                <w:spacing w:val="15"/>
                <w:lang w:val="fr-FR"/>
              </w:rPr>
              <w:t xml:space="preserve"> la mobilisation sociale &amp; l’engagement communautaire – le renforcement des capacités des acteurs – </w:t>
            </w:r>
            <w:r w:rsidRPr="00EE6DB4">
              <w:rPr>
                <w:rFonts w:asciiTheme="minorHAnsi" w:hAnsiTheme="minorHAnsi" w:cstheme="minorHAnsi"/>
                <w:w w:val="105"/>
                <w:lang w:val="fr-FR"/>
              </w:rPr>
              <w:t>le plaidoyer auprès des autorités clés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et partenariats stratégiques avec les personnes influentes – développement des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 xml:space="preserve">messages clés et les supports de communication – </w:t>
            </w:r>
            <w:r w:rsidRPr="00EE6DB4">
              <w:rPr>
                <w:rFonts w:asciiTheme="minorHAnsi" w:hAnsiTheme="minorHAnsi" w:cstheme="minorHAnsi"/>
                <w:lang w:val="fr-FR"/>
              </w:rPr>
              <w:t>le</w:t>
            </w:r>
            <w:r w:rsidRPr="00EE6DB4">
              <w:rPr>
                <w:rFonts w:asciiTheme="minorHAnsi" w:hAnsiTheme="minorHAnsi" w:cstheme="minorHAnsi"/>
                <w:spacing w:val="15"/>
                <w:lang w:val="fr-FR"/>
              </w:rPr>
              <w:t xml:space="preserve"> </w:t>
            </w:r>
            <w:r w:rsidRPr="00EE6DB4">
              <w:rPr>
                <w:rFonts w:asciiTheme="minorHAnsi" w:hAnsiTheme="minorHAnsi" w:cstheme="minorHAnsi"/>
                <w:lang w:val="fr-FR"/>
              </w:rPr>
              <w:t>développement</w:t>
            </w:r>
            <w:r w:rsidRPr="00EE6DB4">
              <w:rPr>
                <w:rFonts w:asciiTheme="minorHAnsi" w:hAnsiTheme="minorHAnsi" w:cstheme="minorHAnsi"/>
                <w:spacing w:val="12"/>
                <w:lang w:val="fr-FR"/>
              </w:rPr>
              <w:t xml:space="preserve"> </w:t>
            </w:r>
            <w:r w:rsidRPr="00EE6DB4">
              <w:rPr>
                <w:rFonts w:asciiTheme="minorHAnsi" w:hAnsiTheme="minorHAnsi" w:cstheme="minorHAnsi"/>
                <w:lang w:val="fr-FR"/>
              </w:rPr>
              <w:t>d’un</w:t>
            </w:r>
            <w:r w:rsidRPr="00EE6DB4">
              <w:rPr>
                <w:rFonts w:asciiTheme="minorHAnsi" w:hAnsiTheme="minorHAnsi" w:cstheme="minorHAnsi"/>
                <w:spacing w:val="12"/>
                <w:lang w:val="fr-FR"/>
              </w:rPr>
              <w:t xml:space="preserve"> </w:t>
            </w:r>
            <w:r w:rsidRPr="00EE6DB4">
              <w:rPr>
                <w:rFonts w:asciiTheme="minorHAnsi" w:hAnsiTheme="minorHAnsi" w:cstheme="minorHAnsi"/>
                <w:lang w:val="fr-FR"/>
              </w:rPr>
              <w:t>plan</w:t>
            </w:r>
            <w:r w:rsidRPr="00EE6DB4">
              <w:rPr>
                <w:rFonts w:asciiTheme="minorHAnsi" w:hAnsiTheme="minorHAnsi" w:cstheme="minorHAnsi"/>
                <w:spacing w:val="1"/>
                <w:lang w:val="fr-FR"/>
              </w:rPr>
              <w:t xml:space="preserve"> </w:t>
            </w:r>
            <w:r w:rsidRPr="00EE6DB4">
              <w:rPr>
                <w:rFonts w:asciiTheme="minorHAnsi" w:hAnsiTheme="minorHAnsi" w:cstheme="minorHAnsi"/>
                <w:w w:val="105"/>
                <w:lang w:val="fr-FR"/>
              </w:rPr>
              <w:t xml:space="preserve">de gestion des rumeurs/désinformation et </w:t>
            </w:r>
            <w:r w:rsidRPr="00EE6DB4">
              <w:rPr>
                <w:rFonts w:asciiTheme="minorHAnsi" w:hAnsiTheme="minorHAnsi" w:cstheme="minorHAnsi"/>
                <w:spacing w:val="-50"/>
                <w:w w:val="105"/>
                <w:lang w:val="fr-FR"/>
              </w:rPr>
              <w:t xml:space="preserve">  </w:t>
            </w:r>
            <w:r w:rsidRPr="00EE6DB4">
              <w:rPr>
                <w:rFonts w:asciiTheme="minorHAnsi" w:hAnsiTheme="minorHAnsi" w:cstheme="minorHAnsi"/>
                <w:w w:val="105"/>
                <w:lang w:val="fr-FR"/>
              </w:rPr>
              <w:t>SOP</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communication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crise.</w:t>
            </w:r>
          </w:p>
          <w:p w14:paraId="7BA3FDD2" w14:textId="1B8D95B9" w:rsidR="00F50C59" w:rsidRPr="00F50C59" w:rsidRDefault="00F50C59" w:rsidP="00F50C59">
            <w:pPr>
              <w:pStyle w:val="ListParagraph"/>
              <w:widowControl w:val="0"/>
              <w:numPr>
                <w:ilvl w:val="0"/>
                <w:numId w:val="26"/>
              </w:numPr>
              <w:tabs>
                <w:tab w:val="left" w:pos="449"/>
              </w:tabs>
              <w:autoSpaceDE w:val="0"/>
              <w:autoSpaceDN w:val="0"/>
              <w:spacing w:before="119" w:line="249" w:lineRule="auto"/>
              <w:ind w:right="188"/>
              <w:contextualSpacing w:val="0"/>
              <w:jc w:val="both"/>
              <w:rPr>
                <w:rFonts w:asciiTheme="minorHAnsi" w:hAnsiTheme="minorHAnsi" w:cstheme="minorHAnsi"/>
                <w:lang w:val="fr-FR"/>
              </w:rPr>
            </w:pPr>
            <w:r w:rsidRPr="00F50C59">
              <w:rPr>
                <w:rFonts w:asciiTheme="minorHAnsi" w:hAnsiTheme="minorHAnsi" w:cstheme="minorHAnsi"/>
                <w:w w:val="105"/>
                <w:lang w:val="fr-FR"/>
              </w:rPr>
              <w:t>I</w:t>
            </w:r>
            <w:r w:rsidRPr="00F50C59">
              <w:rPr>
                <w:rFonts w:asciiTheme="minorHAnsi" w:hAnsiTheme="minorHAnsi" w:cstheme="minorHAnsi"/>
                <w:lang w:val="fr-FR"/>
              </w:rPr>
              <w:t xml:space="preserve">dentifier et analyser les goulots d’étranglement (facteurs socioéconomiques structurels et conjoncturels) </w:t>
            </w:r>
            <w:r>
              <w:rPr>
                <w:rFonts w:asciiTheme="minorHAnsi" w:hAnsiTheme="minorHAnsi" w:cstheme="minorHAnsi"/>
                <w:lang w:val="fr-FR"/>
              </w:rPr>
              <w:t>pouvant</w:t>
            </w:r>
            <w:r w:rsidRPr="00F50C59">
              <w:rPr>
                <w:rFonts w:asciiTheme="minorHAnsi" w:hAnsiTheme="minorHAnsi" w:cstheme="minorHAnsi"/>
                <w:lang w:val="fr-FR"/>
              </w:rPr>
              <w:t xml:space="preserve"> la demande et l’utilisation des services de vaccination contre le HPV par tout ou partie des membres des différents groupes/communautés </w:t>
            </w:r>
          </w:p>
          <w:p w14:paraId="1DADB1BF" w14:textId="16D0D245" w:rsidR="00E14789" w:rsidRPr="00E14789" w:rsidRDefault="00E14789" w:rsidP="00E14789">
            <w:pPr>
              <w:pStyle w:val="ListParagraph"/>
              <w:widowControl w:val="0"/>
              <w:numPr>
                <w:ilvl w:val="0"/>
                <w:numId w:val="26"/>
              </w:numPr>
              <w:tabs>
                <w:tab w:val="left" w:pos="449"/>
              </w:tabs>
              <w:autoSpaceDE w:val="0"/>
              <w:autoSpaceDN w:val="0"/>
              <w:spacing w:before="109" w:line="247" w:lineRule="auto"/>
              <w:ind w:right="189"/>
              <w:contextualSpacing w:val="0"/>
              <w:jc w:val="both"/>
              <w:rPr>
                <w:rFonts w:asciiTheme="majorHAnsi" w:hAnsiTheme="majorHAnsi" w:cstheme="majorHAnsi"/>
                <w:lang w:val="fr-FR"/>
              </w:rPr>
            </w:pPr>
            <w:r w:rsidRPr="00E14789">
              <w:rPr>
                <w:rFonts w:asciiTheme="majorHAnsi" w:hAnsiTheme="majorHAnsi" w:cstheme="majorHAnsi"/>
                <w:lang w:val="fr-FR"/>
              </w:rPr>
              <w:t xml:space="preserve">Identifier et analyser les motivations individuelles et collectives à tous les niveaux du parcours de soins susceptibles d’accélérer la demande et l’utilisations des services de vaccination contre le HPV par les adolescentes/filles ; </w:t>
            </w:r>
          </w:p>
          <w:p w14:paraId="6B11EB22" w14:textId="77777777" w:rsidR="00E14789" w:rsidRPr="00E14789" w:rsidRDefault="00E14789" w:rsidP="00E14789">
            <w:pPr>
              <w:pStyle w:val="ListParagraph"/>
              <w:widowControl w:val="0"/>
              <w:numPr>
                <w:ilvl w:val="0"/>
                <w:numId w:val="26"/>
              </w:numPr>
              <w:tabs>
                <w:tab w:val="left" w:pos="449"/>
              </w:tabs>
              <w:autoSpaceDE w:val="0"/>
              <w:autoSpaceDN w:val="0"/>
              <w:spacing w:before="109" w:line="247" w:lineRule="auto"/>
              <w:ind w:right="189"/>
              <w:contextualSpacing w:val="0"/>
              <w:jc w:val="both"/>
              <w:rPr>
                <w:rFonts w:asciiTheme="majorHAnsi" w:hAnsiTheme="majorHAnsi" w:cstheme="majorHAnsi"/>
                <w:lang w:val="fr-FR"/>
              </w:rPr>
            </w:pPr>
            <w:r w:rsidRPr="00E14789">
              <w:rPr>
                <w:rFonts w:asciiTheme="majorHAnsi" w:hAnsiTheme="majorHAnsi" w:cstheme="majorHAnsi"/>
                <w:lang w:val="fr-FR"/>
              </w:rPr>
              <w:t xml:space="preserve">Analyser les synergies utiles qui pourraient favoriser durablement la demande et l’utilisation des services de vaccination contre le HPV par les adolescentes/filles ; </w:t>
            </w:r>
          </w:p>
          <w:p w14:paraId="2A36D847" w14:textId="77777777" w:rsidR="00E14789" w:rsidRPr="00E14789" w:rsidRDefault="00E14789" w:rsidP="00E14789">
            <w:pPr>
              <w:pStyle w:val="ListParagraph"/>
              <w:widowControl w:val="0"/>
              <w:numPr>
                <w:ilvl w:val="0"/>
                <w:numId w:val="26"/>
              </w:numPr>
              <w:tabs>
                <w:tab w:val="left" w:pos="449"/>
              </w:tabs>
              <w:autoSpaceDE w:val="0"/>
              <w:autoSpaceDN w:val="0"/>
              <w:spacing w:before="109" w:line="247" w:lineRule="auto"/>
              <w:ind w:right="189"/>
              <w:contextualSpacing w:val="0"/>
              <w:jc w:val="both"/>
              <w:rPr>
                <w:rFonts w:asciiTheme="majorHAnsi" w:hAnsiTheme="majorHAnsi" w:cstheme="majorHAnsi"/>
                <w:lang w:val="fr-FR"/>
              </w:rPr>
            </w:pPr>
            <w:r w:rsidRPr="00E14789">
              <w:rPr>
                <w:rFonts w:asciiTheme="majorHAnsi" w:hAnsiTheme="majorHAnsi" w:cstheme="majorHAnsi"/>
                <w:lang w:val="fr-FR"/>
              </w:rPr>
              <w:t xml:space="preserve">Faire une analyse des acteurs sociétaux et des rôles qu’ils peuvent jouer pour la promotion de la demande et l’utilisations des services de vaccination contre le HPV par les adolescentes/filles ; </w:t>
            </w:r>
          </w:p>
          <w:p w14:paraId="63E2CFBE" w14:textId="62E50C7A" w:rsidR="00E14789" w:rsidRPr="00E14789" w:rsidRDefault="00E14789" w:rsidP="00E14789">
            <w:pPr>
              <w:pStyle w:val="ListParagraph"/>
              <w:widowControl w:val="0"/>
              <w:numPr>
                <w:ilvl w:val="0"/>
                <w:numId w:val="26"/>
              </w:numPr>
              <w:tabs>
                <w:tab w:val="left" w:pos="449"/>
              </w:tabs>
              <w:autoSpaceDE w:val="0"/>
              <w:autoSpaceDN w:val="0"/>
              <w:spacing w:before="109" w:line="247" w:lineRule="auto"/>
              <w:ind w:right="189"/>
              <w:contextualSpacing w:val="0"/>
              <w:jc w:val="both"/>
              <w:rPr>
                <w:rFonts w:asciiTheme="majorHAnsi" w:hAnsiTheme="majorHAnsi" w:cstheme="majorHAnsi"/>
                <w:lang w:val="fr-FR"/>
              </w:rPr>
            </w:pPr>
            <w:r w:rsidRPr="00E14789">
              <w:rPr>
                <w:rFonts w:asciiTheme="majorHAnsi" w:hAnsiTheme="majorHAnsi" w:cstheme="majorHAnsi"/>
                <w:lang w:val="fr-FR"/>
              </w:rPr>
              <w:t>Proposer une démarche logique et cohérente pour la promotion de la demande et l’utilisation des services de vaccination contre le HPV par les adolescentes/filles ;</w:t>
            </w:r>
          </w:p>
          <w:p w14:paraId="7EC74229" w14:textId="77777777" w:rsidR="00EE6DB4" w:rsidRPr="00EE6DB4" w:rsidRDefault="00EE6DB4" w:rsidP="00EE6DB4">
            <w:pPr>
              <w:pStyle w:val="ListParagraph"/>
              <w:widowControl w:val="0"/>
              <w:numPr>
                <w:ilvl w:val="0"/>
                <w:numId w:val="26"/>
              </w:numPr>
              <w:tabs>
                <w:tab w:val="left" w:pos="449"/>
              </w:tabs>
              <w:autoSpaceDE w:val="0"/>
              <w:autoSpaceDN w:val="0"/>
              <w:spacing w:before="118" w:line="244" w:lineRule="auto"/>
              <w:ind w:right="189"/>
              <w:contextualSpacing w:val="0"/>
              <w:jc w:val="both"/>
              <w:rPr>
                <w:rFonts w:asciiTheme="minorHAnsi" w:hAnsiTheme="minorHAnsi" w:cstheme="minorHAnsi"/>
                <w:lang w:val="fr-FR"/>
              </w:rPr>
            </w:pPr>
            <w:r w:rsidRPr="00EE6DB4">
              <w:rPr>
                <w:rFonts w:asciiTheme="minorHAnsi" w:hAnsiTheme="minorHAnsi" w:cstheme="minorHAnsi"/>
                <w:w w:val="105"/>
                <w:lang w:val="fr-FR"/>
              </w:rPr>
              <w:t>En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collaboration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avec</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PEV</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ses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partenaires,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organiser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recherche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formative,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le</w:t>
            </w:r>
            <w:r w:rsidRPr="00EE6DB4">
              <w:rPr>
                <w:rFonts w:asciiTheme="minorHAnsi" w:hAnsiTheme="minorHAnsi" w:cstheme="minorHAnsi"/>
                <w:spacing w:val="1"/>
                <w:w w:val="105"/>
                <w:lang w:val="fr-FR"/>
              </w:rPr>
              <w:t xml:space="preserve"> </w:t>
            </w:r>
            <w:r w:rsidRPr="00EE6DB4">
              <w:rPr>
                <w:rFonts w:asciiTheme="minorHAnsi" w:hAnsiTheme="minorHAnsi" w:cstheme="minorHAnsi"/>
                <w:lang w:val="fr-FR"/>
              </w:rPr>
              <w:t>développement, le pré-test et la production des matériels de communication, culturellement pertinent</w:t>
            </w:r>
            <w:r w:rsidRPr="00EE6DB4">
              <w:rPr>
                <w:rFonts w:asciiTheme="minorHAnsi" w:hAnsiTheme="minorHAnsi" w:cstheme="minorHAnsi"/>
                <w:spacing w:val="1"/>
                <w:lang w:val="fr-FR"/>
              </w:rPr>
              <w:t xml:space="preserve"> </w:t>
            </w:r>
            <w:r w:rsidRPr="00EE6DB4">
              <w:rPr>
                <w:rFonts w:asciiTheme="minorHAnsi" w:hAnsiTheme="minorHAnsi" w:cstheme="minorHAnsi"/>
                <w:w w:val="105"/>
                <w:lang w:val="fr-FR"/>
              </w:rPr>
              <w:t>pour</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assurer</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une augmentation</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demande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l’utilisation</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services</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vaccination.</w:t>
            </w:r>
          </w:p>
          <w:p w14:paraId="3D421714" w14:textId="77777777" w:rsidR="00EE6DB4" w:rsidRPr="00EE6DB4" w:rsidRDefault="00EE6DB4" w:rsidP="00EE6DB4">
            <w:pPr>
              <w:pStyle w:val="ListParagraph"/>
              <w:widowControl w:val="0"/>
              <w:numPr>
                <w:ilvl w:val="0"/>
                <w:numId w:val="26"/>
              </w:numPr>
              <w:tabs>
                <w:tab w:val="left" w:pos="449"/>
              </w:tabs>
              <w:autoSpaceDE w:val="0"/>
              <w:autoSpaceDN w:val="0"/>
              <w:spacing w:before="119" w:line="244" w:lineRule="auto"/>
              <w:ind w:right="191"/>
              <w:contextualSpacing w:val="0"/>
              <w:jc w:val="both"/>
              <w:rPr>
                <w:rFonts w:asciiTheme="minorHAnsi" w:hAnsiTheme="minorHAnsi" w:cstheme="minorHAnsi"/>
                <w:lang w:val="fr-FR"/>
              </w:rPr>
            </w:pPr>
            <w:r w:rsidRPr="00EE6DB4">
              <w:rPr>
                <w:rFonts w:asciiTheme="minorHAnsi" w:hAnsiTheme="minorHAnsi" w:cstheme="minorHAnsi"/>
                <w:lang w:val="fr-FR"/>
              </w:rPr>
              <w:t>Contribuer aux efforts de plaidoyer et de renforcement des partenariats avec divers groupes sociaux,</w:t>
            </w:r>
            <w:r w:rsidRPr="00EE6DB4">
              <w:rPr>
                <w:rFonts w:asciiTheme="minorHAnsi" w:hAnsiTheme="minorHAnsi" w:cstheme="minorHAnsi"/>
                <w:spacing w:val="1"/>
                <w:lang w:val="fr-FR"/>
              </w:rPr>
              <w:t xml:space="preserve"> </w:t>
            </w:r>
            <w:r w:rsidRPr="00EE6DB4">
              <w:rPr>
                <w:rFonts w:asciiTheme="minorHAnsi" w:hAnsiTheme="minorHAnsi" w:cstheme="minorHAnsi"/>
                <w:w w:val="105"/>
                <w:lang w:val="fr-FR"/>
              </w:rPr>
              <w:t>notamment les associations des femmes et jeunes pour les orienter sur les approches et les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techniques</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communication</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efficace</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en faveur de l’introduction du vaccin HPV.</w:t>
            </w:r>
          </w:p>
          <w:p w14:paraId="77722F6C" w14:textId="12F10FE9" w:rsidR="00EE6DB4" w:rsidRPr="004F3A34" w:rsidRDefault="00EE6DB4" w:rsidP="004F3A34">
            <w:pPr>
              <w:pStyle w:val="ListParagraph"/>
              <w:widowControl w:val="0"/>
              <w:numPr>
                <w:ilvl w:val="0"/>
                <w:numId w:val="26"/>
              </w:numPr>
              <w:tabs>
                <w:tab w:val="left" w:pos="449"/>
              </w:tabs>
              <w:autoSpaceDE w:val="0"/>
              <w:autoSpaceDN w:val="0"/>
              <w:spacing w:before="117" w:line="240" w:lineRule="auto"/>
              <w:ind w:right="191"/>
              <w:contextualSpacing w:val="0"/>
              <w:jc w:val="both"/>
              <w:rPr>
                <w:rFonts w:asciiTheme="minorHAnsi" w:hAnsiTheme="minorHAnsi" w:cstheme="minorHAnsi"/>
                <w:lang w:val="fr-FR"/>
              </w:rPr>
            </w:pPr>
            <w:r w:rsidRPr="00EE6DB4">
              <w:rPr>
                <w:rFonts w:asciiTheme="minorHAnsi" w:hAnsiTheme="minorHAnsi" w:cstheme="minorHAnsi"/>
                <w:w w:val="105"/>
                <w:lang w:val="fr-FR"/>
              </w:rPr>
              <w:t>Documenter les bonnes pratiques,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appuyer</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l’innovation,</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la</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gestion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des</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connaissances.</w:t>
            </w:r>
          </w:p>
          <w:p w14:paraId="16E72FE4" w14:textId="77777777" w:rsidR="004F3A34" w:rsidRPr="004F3A34" w:rsidRDefault="004F3A34" w:rsidP="004F3A34">
            <w:pPr>
              <w:pStyle w:val="ListParagraph"/>
              <w:widowControl w:val="0"/>
              <w:tabs>
                <w:tab w:val="left" w:pos="449"/>
              </w:tabs>
              <w:autoSpaceDE w:val="0"/>
              <w:autoSpaceDN w:val="0"/>
              <w:spacing w:before="117" w:line="240" w:lineRule="auto"/>
              <w:ind w:left="448" w:right="191"/>
              <w:contextualSpacing w:val="0"/>
              <w:jc w:val="both"/>
              <w:rPr>
                <w:rFonts w:asciiTheme="minorHAnsi" w:hAnsiTheme="minorHAnsi" w:cstheme="minorHAnsi"/>
                <w:lang w:val="fr-FR"/>
              </w:rPr>
            </w:pPr>
          </w:p>
          <w:p w14:paraId="1D78D965" w14:textId="77777777" w:rsidR="00EE6DB4" w:rsidRPr="0030067E" w:rsidRDefault="00EE6DB4" w:rsidP="00EE6DB4">
            <w:pPr>
              <w:pStyle w:val="Heading1"/>
              <w:numPr>
                <w:ilvl w:val="0"/>
                <w:numId w:val="27"/>
              </w:numPr>
              <w:tabs>
                <w:tab w:val="num" w:pos="360"/>
                <w:tab w:val="num" w:pos="720"/>
                <w:tab w:val="left" w:pos="871"/>
              </w:tabs>
              <w:spacing w:before="1" w:after="0"/>
              <w:ind w:left="720" w:hanging="341"/>
              <w:rPr>
                <w:rFonts w:asciiTheme="minorHAnsi" w:hAnsiTheme="minorHAnsi" w:cstheme="minorHAnsi"/>
                <w:color w:val="212A34"/>
                <w:sz w:val="20"/>
                <w:szCs w:val="20"/>
              </w:rPr>
            </w:pPr>
            <w:r w:rsidRPr="0030067E">
              <w:rPr>
                <w:rFonts w:asciiTheme="minorHAnsi" w:hAnsiTheme="minorHAnsi" w:cstheme="minorHAnsi"/>
                <w:color w:val="212A34"/>
                <w:w w:val="105"/>
                <w:sz w:val="20"/>
                <w:szCs w:val="20"/>
              </w:rPr>
              <w:t>Méthodologie</w:t>
            </w:r>
          </w:p>
          <w:p w14:paraId="265363DD" w14:textId="77777777" w:rsidR="00B14BE6" w:rsidRDefault="00EE6DB4" w:rsidP="00E42815">
            <w:pPr>
              <w:pStyle w:val="BodyText"/>
              <w:spacing w:after="0" w:line="252" w:lineRule="auto"/>
              <w:ind w:right="189"/>
              <w:jc w:val="both"/>
              <w:rPr>
                <w:rFonts w:asciiTheme="minorHAnsi" w:hAnsiTheme="minorHAnsi" w:cstheme="minorHAnsi"/>
                <w:w w:val="105"/>
                <w:lang w:val="fr-FR"/>
              </w:rPr>
            </w:pPr>
            <w:r w:rsidRPr="00EE6DB4">
              <w:rPr>
                <w:rFonts w:asciiTheme="minorHAnsi" w:hAnsiTheme="minorHAnsi" w:cstheme="minorHAnsi"/>
                <w:w w:val="105"/>
                <w:lang w:val="fr-FR"/>
              </w:rPr>
              <w:t>Le Consultant devra fournir un appui technique au PEV et la DPS en</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matière</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changement social</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et</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comportemental.</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Un</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plan</w:t>
            </w:r>
            <w:r w:rsidRPr="00EE6DB4">
              <w:rPr>
                <w:rFonts w:asciiTheme="minorHAnsi" w:hAnsiTheme="minorHAnsi" w:cstheme="minorHAnsi"/>
                <w:spacing w:val="-6"/>
                <w:w w:val="105"/>
                <w:lang w:val="fr-FR"/>
              </w:rPr>
              <w:t xml:space="preserve"> </w:t>
            </w:r>
            <w:r w:rsidRPr="00EE6DB4">
              <w:rPr>
                <w:rFonts w:asciiTheme="minorHAnsi" w:hAnsiTheme="minorHAnsi" w:cstheme="minorHAnsi"/>
                <w:w w:val="105"/>
                <w:lang w:val="fr-FR"/>
              </w:rPr>
              <w:t>de</w:t>
            </w:r>
            <w:r w:rsidRPr="00EE6DB4">
              <w:rPr>
                <w:rFonts w:asciiTheme="minorHAnsi" w:hAnsiTheme="minorHAnsi" w:cstheme="minorHAnsi"/>
                <w:spacing w:val="-5"/>
                <w:w w:val="105"/>
                <w:lang w:val="fr-FR"/>
              </w:rPr>
              <w:t xml:space="preserve"> </w:t>
            </w:r>
            <w:r w:rsidRPr="00EE6DB4">
              <w:rPr>
                <w:rFonts w:asciiTheme="minorHAnsi" w:hAnsiTheme="minorHAnsi" w:cstheme="minorHAnsi"/>
                <w:w w:val="105"/>
                <w:lang w:val="fr-FR"/>
              </w:rPr>
              <w:t>travail</w:t>
            </w:r>
            <w:r w:rsidRPr="00EE6DB4">
              <w:rPr>
                <w:rFonts w:asciiTheme="minorHAnsi" w:hAnsiTheme="minorHAnsi" w:cstheme="minorHAnsi"/>
                <w:spacing w:val="-4"/>
                <w:w w:val="105"/>
                <w:lang w:val="fr-FR"/>
              </w:rPr>
              <w:t xml:space="preserve"> </w:t>
            </w:r>
            <w:r w:rsidRPr="00EE6DB4">
              <w:rPr>
                <w:rFonts w:asciiTheme="minorHAnsi" w:hAnsiTheme="minorHAnsi" w:cstheme="minorHAnsi"/>
                <w:w w:val="105"/>
                <w:lang w:val="fr-FR"/>
              </w:rPr>
              <w:t>sera</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élaboré</w:t>
            </w:r>
            <w:r w:rsidRPr="00EE6DB4">
              <w:rPr>
                <w:rFonts w:asciiTheme="minorHAnsi" w:hAnsiTheme="minorHAnsi" w:cstheme="minorHAnsi"/>
                <w:spacing w:val="-2"/>
                <w:w w:val="105"/>
                <w:lang w:val="fr-FR"/>
              </w:rPr>
              <w:t xml:space="preserve"> </w:t>
            </w:r>
            <w:r w:rsidRPr="00EE6DB4">
              <w:rPr>
                <w:rFonts w:asciiTheme="minorHAnsi" w:hAnsiTheme="minorHAnsi" w:cstheme="minorHAnsi"/>
                <w:w w:val="105"/>
                <w:lang w:val="fr-FR"/>
              </w:rPr>
              <w:t>à</w:t>
            </w:r>
            <w:r w:rsidRPr="00EE6DB4">
              <w:rPr>
                <w:rFonts w:asciiTheme="minorHAnsi" w:hAnsiTheme="minorHAnsi" w:cstheme="minorHAnsi"/>
                <w:spacing w:val="-6"/>
                <w:w w:val="105"/>
                <w:lang w:val="fr-FR"/>
              </w:rPr>
              <w:t xml:space="preserve"> </w:t>
            </w:r>
            <w:r w:rsidRPr="00EE6DB4">
              <w:rPr>
                <w:rFonts w:asciiTheme="minorHAnsi" w:hAnsiTheme="minorHAnsi" w:cstheme="minorHAnsi"/>
                <w:w w:val="105"/>
                <w:lang w:val="fr-FR"/>
              </w:rPr>
              <w:t>cet</w:t>
            </w:r>
            <w:r w:rsidRPr="00EE6DB4">
              <w:rPr>
                <w:rFonts w:asciiTheme="minorHAnsi" w:hAnsiTheme="minorHAnsi" w:cstheme="minorHAnsi"/>
                <w:spacing w:val="-6"/>
                <w:w w:val="105"/>
                <w:lang w:val="fr-FR"/>
              </w:rPr>
              <w:t xml:space="preserve"> </w:t>
            </w:r>
            <w:r w:rsidRPr="00EE6DB4">
              <w:rPr>
                <w:rFonts w:asciiTheme="minorHAnsi" w:hAnsiTheme="minorHAnsi" w:cstheme="minorHAnsi"/>
                <w:w w:val="105"/>
                <w:lang w:val="fr-FR"/>
              </w:rPr>
              <w:t>effet.</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En</w:t>
            </w:r>
            <w:r w:rsidRPr="00EE6DB4">
              <w:rPr>
                <w:rFonts w:asciiTheme="minorHAnsi" w:hAnsiTheme="minorHAnsi" w:cstheme="minorHAnsi"/>
                <w:spacing w:val="-3"/>
                <w:w w:val="105"/>
                <w:lang w:val="fr-FR"/>
              </w:rPr>
              <w:t xml:space="preserve"> </w:t>
            </w:r>
            <w:r w:rsidR="004F3A34" w:rsidRPr="00EE6DB4">
              <w:rPr>
                <w:rFonts w:asciiTheme="minorHAnsi" w:hAnsiTheme="minorHAnsi" w:cstheme="minorHAnsi"/>
                <w:w w:val="105"/>
                <w:lang w:val="fr-FR"/>
              </w:rPr>
              <w:t>outre</w:t>
            </w:r>
            <w:r w:rsidR="004F3A34">
              <w:rPr>
                <w:rFonts w:asciiTheme="minorHAnsi" w:hAnsiTheme="minorHAnsi" w:cstheme="minorHAnsi"/>
                <w:w w:val="105"/>
                <w:lang w:val="fr-FR"/>
              </w:rPr>
              <w:t xml:space="preserve"> </w:t>
            </w:r>
            <w:r w:rsidR="004F3A34" w:rsidRPr="00EE6DB4">
              <w:rPr>
                <w:rFonts w:asciiTheme="minorHAnsi" w:hAnsiTheme="minorHAnsi" w:cstheme="minorHAnsi"/>
                <w:spacing w:val="-50"/>
                <w:w w:val="105"/>
                <w:lang w:val="fr-FR"/>
              </w:rPr>
              <w:t>l</w:t>
            </w:r>
            <w:r w:rsidRPr="00EE6DB4">
              <w:rPr>
                <w:rFonts w:asciiTheme="minorHAnsi" w:hAnsiTheme="minorHAnsi" w:cstheme="minorHAnsi"/>
                <w:w w:val="105"/>
                <w:lang w:val="fr-FR"/>
              </w:rPr>
              <w:t>le Consultant soumettra au superviseur des rapports mensuels d’activités sur la base du plan de</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travail</w:t>
            </w:r>
            <w:r w:rsidRPr="00EE6DB4">
              <w:rPr>
                <w:rFonts w:asciiTheme="minorHAnsi" w:hAnsiTheme="minorHAnsi" w:cstheme="minorHAnsi"/>
                <w:spacing w:val="1"/>
                <w:w w:val="105"/>
                <w:lang w:val="fr-FR"/>
              </w:rPr>
              <w:t xml:space="preserve"> </w:t>
            </w:r>
            <w:r w:rsidRPr="00EE6DB4">
              <w:rPr>
                <w:rFonts w:asciiTheme="minorHAnsi" w:hAnsiTheme="minorHAnsi" w:cstheme="minorHAnsi"/>
                <w:w w:val="105"/>
                <w:lang w:val="fr-FR"/>
              </w:rPr>
              <w:t>initialement</w:t>
            </w:r>
            <w:r w:rsidRPr="00EE6DB4">
              <w:rPr>
                <w:rFonts w:asciiTheme="minorHAnsi" w:hAnsiTheme="minorHAnsi" w:cstheme="minorHAnsi"/>
                <w:spacing w:val="-3"/>
                <w:w w:val="105"/>
                <w:lang w:val="fr-FR"/>
              </w:rPr>
              <w:t xml:space="preserve"> </w:t>
            </w:r>
            <w:r w:rsidRPr="00EE6DB4">
              <w:rPr>
                <w:rFonts w:asciiTheme="minorHAnsi" w:hAnsiTheme="minorHAnsi" w:cstheme="minorHAnsi"/>
                <w:w w:val="105"/>
                <w:lang w:val="fr-FR"/>
              </w:rPr>
              <w:t>validé</w:t>
            </w:r>
          </w:p>
          <w:p w14:paraId="2E44D8A1" w14:textId="77777777" w:rsidR="004F3A34" w:rsidRDefault="004F3A34" w:rsidP="00E42815">
            <w:pPr>
              <w:pStyle w:val="BodyText"/>
              <w:spacing w:after="0" w:line="252" w:lineRule="auto"/>
              <w:ind w:right="189"/>
              <w:jc w:val="both"/>
              <w:rPr>
                <w:rFonts w:asciiTheme="minorHAnsi" w:hAnsiTheme="minorHAnsi" w:cstheme="minorHAnsi"/>
                <w:w w:val="105"/>
                <w:lang w:val="fr-FR"/>
              </w:rPr>
            </w:pPr>
          </w:p>
          <w:p w14:paraId="4191D010" w14:textId="5350080B" w:rsidR="004F3A34" w:rsidRPr="004F3A34" w:rsidRDefault="004F3A34" w:rsidP="004F3A34">
            <w:pPr>
              <w:pStyle w:val="Heading1"/>
              <w:numPr>
                <w:ilvl w:val="0"/>
                <w:numId w:val="27"/>
              </w:numPr>
              <w:tabs>
                <w:tab w:val="left" w:pos="871"/>
              </w:tabs>
              <w:spacing w:before="0" w:after="0"/>
              <w:rPr>
                <w:rFonts w:asciiTheme="minorHAnsi" w:hAnsiTheme="minorHAnsi" w:cstheme="minorHAnsi"/>
                <w:color w:val="212A34"/>
                <w:sz w:val="20"/>
                <w:szCs w:val="20"/>
              </w:rPr>
            </w:pPr>
            <w:r>
              <w:rPr>
                <w:rFonts w:asciiTheme="minorHAnsi" w:hAnsiTheme="minorHAnsi" w:cstheme="minorHAnsi"/>
                <w:color w:val="212A34"/>
                <w:w w:val="105"/>
                <w:sz w:val="20"/>
                <w:szCs w:val="20"/>
              </w:rPr>
              <w:t>Princpales taches:</w:t>
            </w:r>
          </w:p>
          <w:p w14:paraId="2663BC35"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Le consultant devra mener une recherche anthropologique solide, en utilisant l'itération et la réflexivité pour comprendre les barrières comportementales et les motivations individuelles et collectives de la demande et de l'utilisation du vaccin contre le HPV par les filles. Au minimum, il devra entreprendre les tâches suivantes, qui pourront être affinées lors d'une discussion initiale avec l'équipe de suivi de l’étude :</w:t>
            </w:r>
          </w:p>
          <w:p w14:paraId="5B3805EF"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1. Consultations avec les spécialistes techniques de l’UNICEF et l’OMS, le ministère de la Santé (Programme Elargi de Vaccination, Direction de la Promotion de la Santé) et les autres partenaires (Ministère de la Femme et Famille, Ministère des Affaires Musulmanes, Ministère de l’éducation et la formation professionnelle, Union Nationale des Femmes Djiboutienne etc.) pour déterminer les besoins et les attentes liés au processus de planification stratégique de la SBC et à ses résultats afin de réaliser une analyse des parties prenantes.</w:t>
            </w:r>
          </w:p>
          <w:p w14:paraId="0F488302"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2. Identifier les problèmes et produire une cartographie comportementale qui aboutira à une liste d'interventions expérimentales potentielles.</w:t>
            </w:r>
          </w:p>
          <w:p w14:paraId="6BD6ADC1"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3. Explorer diverses sources d'information, telles que les données quantitatives et qualitatives existantes, la littérature scientifique pertinente et d'autres documents stratégiques et politiques, afin d’analyser le parcours de vaccination en général et celui du HPV en particulier. Cette analyse portera sur quatre aspects principaux :</w:t>
            </w:r>
          </w:p>
          <w:p w14:paraId="25D4B0A3"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a. Les défis ;</w:t>
            </w:r>
          </w:p>
          <w:p w14:paraId="6B8929DD"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b. Les obstacles ;</w:t>
            </w:r>
          </w:p>
          <w:p w14:paraId="0817FC86" w14:textId="77777777"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t>c. Goulets d'étranglement comportementaux ;</w:t>
            </w:r>
          </w:p>
          <w:p w14:paraId="1B3F5043" w14:textId="58E3BEC2" w:rsidR="004F3A34" w:rsidRPr="004F3A34" w:rsidRDefault="004F3A34" w:rsidP="004F3A34">
            <w:pPr>
              <w:jc w:val="both"/>
              <w:rPr>
                <w:rFonts w:asciiTheme="minorHAnsi" w:hAnsiTheme="minorHAnsi" w:cstheme="minorHAnsi"/>
                <w:lang w:val="fr-FR"/>
              </w:rPr>
            </w:pPr>
            <w:r w:rsidRPr="004F3A34">
              <w:rPr>
                <w:rFonts w:asciiTheme="minorHAnsi" w:hAnsiTheme="minorHAnsi" w:cstheme="minorHAnsi"/>
                <w:lang w:val="fr-FR"/>
              </w:rPr>
              <w:lastRenderedPageBreak/>
              <w:t>Accélérateurs/facilitateurs potentiels.</w:t>
            </w:r>
          </w:p>
          <w:p w14:paraId="2930FD14" w14:textId="5BBD874C" w:rsidR="004F3A34" w:rsidRDefault="004F3A34" w:rsidP="004F3A34">
            <w:pPr>
              <w:spacing w:line="240" w:lineRule="auto"/>
              <w:jc w:val="both"/>
              <w:rPr>
                <w:lang w:val="fr-FR"/>
              </w:rPr>
            </w:pPr>
            <w:r w:rsidRPr="004F3A34">
              <w:rPr>
                <w:rFonts w:asciiTheme="minorHAnsi" w:hAnsiTheme="minorHAnsi" w:cstheme="minorHAnsi"/>
                <w:lang w:val="fr-FR"/>
              </w:rPr>
              <w:t>4. Développer une matrice d’actions recommandées pour accélérer la demande et l’utilisation des services de vaccination contre le HPV</w:t>
            </w:r>
            <w:r w:rsidRPr="00745ED5">
              <w:rPr>
                <w:lang w:val="fr-FR"/>
              </w:rPr>
              <w:t>.</w:t>
            </w:r>
          </w:p>
          <w:p w14:paraId="6839B81B" w14:textId="77777777" w:rsidR="004F3A34" w:rsidRDefault="004F3A34" w:rsidP="004F3A34">
            <w:pPr>
              <w:jc w:val="both"/>
              <w:rPr>
                <w:lang w:val="fr-FR"/>
              </w:rPr>
            </w:pPr>
          </w:p>
          <w:p w14:paraId="304D2E7D" w14:textId="4AE4A9C3" w:rsidR="004F3A34" w:rsidRDefault="004F3A34" w:rsidP="004F3A34">
            <w:pPr>
              <w:jc w:val="both"/>
              <w:rPr>
                <w:lang w:val="fr-FR"/>
              </w:rPr>
            </w:pPr>
          </w:p>
          <w:tbl>
            <w:tblPr>
              <w:tblpPr w:leftFromText="180" w:rightFromText="180" w:vertAnchor="page" w:horzAnchor="margin" w:tblpY="3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10"/>
              <w:gridCol w:w="4162"/>
              <w:gridCol w:w="2048"/>
            </w:tblGrid>
            <w:tr w:rsidR="000030A4" w:rsidRPr="00453936" w14:paraId="357621B6" w14:textId="77777777" w:rsidTr="00EC4652">
              <w:trPr>
                <w:trHeight w:val="368"/>
              </w:trPr>
              <w:tc>
                <w:tcPr>
                  <w:tcW w:w="3410" w:type="dxa"/>
                  <w:tcBorders>
                    <w:top w:val="single" w:sz="8" w:space="0" w:color="6D6D6D"/>
                    <w:left w:val="single" w:sz="8" w:space="0" w:color="6D6D6D"/>
                    <w:bottom w:val="single" w:sz="8" w:space="0" w:color="6D6D6D"/>
                    <w:right w:val="single" w:sz="8" w:space="0" w:color="6D6D6D"/>
                  </w:tcBorders>
                  <w:shd w:val="clear" w:color="auto" w:fill="E7E6E6"/>
                  <w:noWrap/>
                </w:tcPr>
                <w:p w14:paraId="71B6B0FE" w14:textId="77777777" w:rsidR="000030A4" w:rsidRPr="00453936" w:rsidRDefault="000030A4" w:rsidP="00F1675B">
                  <w:pPr>
                    <w:ind w:left="12" w:hanging="12"/>
                    <w:rPr>
                      <w:rFonts w:ascii="Calibri" w:eastAsia="Arial Unicode MS" w:hAnsi="Calibri" w:cs="Calibri"/>
                      <w:color w:val="auto"/>
                      <w:lang w:val="en-AU"/>
                    </w:rPr>
                  </w:pPr>
                  <w:r w:rsidRPr="00453936">
                    <w:rPr>
                      <w:rFonts w:ascii="Calibri" w:eastAsia="Arial Unicode MS" w:hAnsi="Calibri" w:cs="Calibri"/>
                      <w:color w:val="auto"/>
                      <w:lang w:val="en-AU"/>
                    </w:rPr>
                    <w:t>Work Assignments Overview</w:t>
                  </w:r>
                </w:p>
              </w:tc>
              <w:tc>
                <w:tcPr>
                  <w:tcW w:w="4162" w:type="dxa"/>
                  <w:tcBorders>
                    <w:top w:val="single" w:sz="8" w:space="0" w:color="6D6D6D"/>
                    <w:left w:val="single" w:sz="8" w:space="0" w:color="6D6D6D"/>
                    <w:bottom w:val="single" w:sz="8" w:space="0" w:color="6D6D6D"/>
                    <w:right w:val="single" w:sz="8" w:space="0" w:color="6D6D6D"/>
                  </w:tcBorders>
                  <w:shd w:val="clear" w:color="auto" w:fill="E7E6E6"/>
                </w:tcPr>
                <w:p w14:paraId="08B0EEB9" w14:textId="77777777" w:rsidR="000030A4" w:rsidRPr="00453936" w:rsidRDefault="000030A4" w:rsidP="00F1675B">
                  <w:pPr>
                    <w:ind w:left="12" w:hanging="12"/>
                    <w:rPr>
                      <w:rFonts w:ascii="Calibri" w:eastAsia="Arial Unicode MS" w:hAnsi="Calibri" w:cs="Calibri"/>
                      <w:color w:val="auto"/>
                      <w:lang w:val="en-AU"/>
                    </w:rPr>
                  </w:pPr>
                  <w:r w:rsidRPr="00453936">
                    <w:rPr>
                      <w:rFonts w:ascii="Calibri" w:eastAsia="Arial Unicode MS" w:hAnsi="Calibri" w:cs="Calibri"/>
                      <w:color w:val="auto"/>
                      <w:lang w:val="en-AU"/>
                    </w:rPr>
                    <w:t>Deliverables/Outputs</w:t>
                  </w:r>
                </w:p>
              </w:tc>
              <w:tc>
                <w:tcPr>
                  <w:tcW w:w="2048" w:type="dxa"/>
                  <w:tcBorders>
                    <w:top w:val="single" w:sz="8" w:space="0" w:color="6D6D6D"/>
                    <w:left w:val="single" w:sz="8" w:space="0" w:color="6D6D6D"/>
                    <w:bottom w:val="single" w:sz="8" w:space="0" w:color="6D6D6D"/>
                    <w:right w:val="single" w:sz="8" w:space="0" w:color="6D6D6D"/>
                  </w:tcBorders>
                  <w:shd w:val="clear" w:color="auto" w:fill="E7E6E6"/>
                </w:tcPr>
                <w:p w14:paraId="06C2D8CC" w14:textId="77777777" w:rsidR="000030A4" w:rsidRPr="00453936" w:rsidRDefault="000030A4" w:rsidP="00F1675B">
                  <w:pPr>
                    <w:spacing w:before="60" w:after="60" w:line="240" w:lineRule="auto"/>
                    <w:rPr>
                      <w:rFonts w:ascii="Calibri" w:eastAsia="Arial Unicode MS" w:hAnsi="Calibri" w:cs="Calibri"/>
                      <w:color w:val="auto"/>
                      <w:lang w:val="en-AU"/>
                    </w:rPr>
                  </w:pPr>
                  <w:r w:rsidRPr="00453936">
                    <w:rPr>
                      <w:rFonts w:ascii="Calibri" w:eastAsia="Arial Unicode MS" w:hAnsi="Calibri" w:cs="Calibri"/>
                      <w:color w:val="auto"/>
                      <w:lang w:val="en-AU"/>
                    </w:rPr>
                    <w:t>Delivery  deadline</w:t>
                  </w:r>
                </w:p>
              </w:tc>
            </w:tr>
            <w:tr w:rsidR="000030A4" w:rsidRPr="00453936" w14:paraId="0812901A" w14:textId="77777777" w:rsidTr="00EC4652">
              <w:trPr>
                <w:trHeight w:val="343"/>
              </w:trPr>
              <w:tc>
                <w:tcPr>
                  <w:tcW w:w="3410" w:type="dxa"/>
                  <w:tcBorders>
                    <w:top w:val="single" w:sz="8" w:space="0" w:color="6D6D6D"/>
                    <w:left w:val="single" w:sz="8" w:space="0" w:color="6D6D6D"/>
                    <w:bottom w:val="single" w:sz="8" w:space="0" w:color="6D6D6D"/>
                    <w:right w:val="single" w:sz="8" w:space="0" w:color="6D6D6D"/>
                  </w:tcBorders>
                  <w:shd w:val="clear" w:color="auto" w:fill="auto"/>
                  <w:noWrap/>
                </w:tcPr>
                <w:p w14:paraId="0FF80655" w14:textId="77777777" w:rsidR="000030A4" w:rsidRPr="00453936" w:rsidRDefault="000030A4" w:rsidP="00F1675B">
                  <w:pPr>
                    <w:ind w:left="12" w:hanging="12"/>
                    <w:rPr>
                      <w:rFonts w:ascii="Calibri" w:eastAsia="Arial Unicode MS" w:hAnsi="Calibri" w:cs="Calibri"/>
                      <w:color w:val="auto"/>
                      <w:sz w:val="18"/>
                      <w:szCs w:val="18"/>
                      <w:lang w:val="fr-FR"/>
                    </w:rPr>
                  </w:pPr>
                  <w:r w:rsidRPr="00453936">
                    <w:rPr>
                      <w:rFonts w:ascii="Calibri" w:hAnsi="Calibri" w:cs="Calibri"/>
                      <w:sz w:val="18"/>
                      <w:szCs w:val="18"/>
                      <w:lang w:val="fr-FR"/>
                    </w:rPr>
                    <w:t>Appui</w:t>
                  </w:r>
                  <w:r w:rsidRPr="00453936">
                    <w:rPr>
                      <w:rFonts w:ascii="Calibri" w:hAnsi="Calibri" w:cs="Calibri"/>
                      <w:spacing w:val="16"/>
                      <w:sz w:val="18"/>
                      <w:szCs w:val="18"/>
                      <w:lang w:val="fr-FR"/>
                    </w:rPr>
                    <w:t xml:space="preserve"> </w:t>
                  </w:r>
                  <w:r w:rsidRPr="00453936">
                    <w:rPr>
                      <w:rFonts w:ascii="Calibri" w:hAnsi="Calibri" w:cs="Calibri"/>
                      <w:sz w:val="18"/>
                      <w:szCs w:val="18"/>
                      <w:lang w:val="fr-FR"/>
                    </w:rPr>
                    <w:t>technique</w:t>
                  </w:r>
                  <w:r w:rsidRPr="00453936">
                    <w:rPr>
                      <w:rFonts w:ascii="Calibri" w:hAnsi="Calibri" w:cs="Calibri"/>
                      <w:spacing w:val="16"/>
                      <w:sz w:val="18"/>
                      <w:szCs w:val="18"/>
                      <w:lang w:val="fr-FR"/>
                    </w:rPr>
                    <w:t xml:space="preserve"> </w:t>
                  </w:r>
                  <w:r w:rsidRPr="00453936">
                    <w:rPr>
                      <w:rFonts w:ascii="Calibri" w:hAnsi="Calibri" w:cs="Calibri"/>
                      <w:sz w:val="18"/>
                      <w:szCs w:val="18"/>
                      <w:lang w:val="fr-FR"/>
                    </w:rPr>
                    <w:t>CSC apportée au Programme Elargi de Vaccination (PEV) et la Direction de la Promotion de la Santé (DPS)</w:t>
                  </w:r>
                  <w:r w:rsidRPr="00453936">
                    <w:rPr>
                      <w:rFonts w:ascii="Calibri" w:hAnsi="Calibri" w:cs="Calibri"/>
                      <w:spacing w:val="18"/>
                      <w:sz w:val="18"/>
                      <w:szCs w:val="18"/>
                      <w:lang w:val="fr-FR"/>
                    </w:rPr>
                    <w:t xml:space="preserve"> </w:t>
                  </w:r>
                  <w:r w:rsidRPr="00453936">
                    <w:rPr>
                      <w:rFonts w:ascii="Calibri" w:hAnsi="Calibri" w:cs="Calibri"/>
                      <w:sz w:val="18"/>
                      <w:szCs w:val="18"/>
                      <w:lang w:val="fr-FR"/>
                    </w:rPr>
                    <w:t>pour</w:t>
                  </w:r>
                  <w:r w:rsidRPr="00453936">
                    <w:rPr>
                      <w:rFonts w:ascii="Calibri" w:hAnsi="Calibri" w:cs="Calibri"/>
                      <w:spacing w:val="18"/>
                      <w:sz w:val="18"/>
                      <w:szCs w:val="18"/>
                      <w:lang w:val="fr-FR"/>
                    </w:rPr>
                    <w:t xml:space="preserve"> </w:t>
                  </w:r>
                  <w:r w:rsidRPr="00453936">
                    <w:rPr>
                      <w:rFonts w:ascii="Calibri" w:hAnsi="Calibri" w:cs="Calibri"/>
                      <w:sz w:val="18"/>
                      <w:szCs w:val="18"/>
                      <w:lang w:val="fr-FR"/>
                    </w:rPr>
                    <w:t>l’introduction</w:t>
                  </w:r>
                  <w:r w:rsidRPr="00453936">
                    <w:rPr>
                      <w:rFonts w:ascii="Calibri" w:hAnsi="Calibri" w:cs="Calibri"/>
                      <w:spacing w:val="-44"/>
                      <w:sz w:val="18"/>
                      <w:szCs w:val="18"/>
                      <w:lang w:val="fr-FR"/>
                    </w:rPr>
                    <w:t xml:space="preserve"> </w:t>
                  </w:r>
                  <w:r w:rsidRPr="00453936">
                    <w:rPr>
                      <w:rFonts w:ascii="Calibri" w:hAnsi="Calibri" w:cs="Calibri"/>
                      <w:sz w:val="18"/>
                      <w:szCs w:val="18"/>
                      <w:lang w:val="fr-FR"/>
                    </w:rPr>
                    <w:t>du nouveau vaccin</w:t>
                  </w:r>
                  <w:r w:rsidRPr="00453936">
                    <w:rPr>
                      <w:rFonts w:ascii="Calibri" w:hAnsi="Calibri" w:cs="Calibri"/>
                      <w:spacing w:val="-4"/>
                      <w:sz w:val="18"/>
                      <w:szCs w:val="18"/>
                      <w:lang w:val="fr-FR"/>
                    </w:rPr>
                    <w:t xml:space="preserve"> anti </w:t>
                  </w:r>
                  <w:r w:rsidRPr="00453936">
                    <w:rPr>
                      <w:rFonts w:ascii="Calibri" w:hAnsi="Calibri" w:cs="Calibri"/>
                      <w:sz w:val="18"/>
                      <w:szCs w:val="18"/>
                      <w:lang w:val="fr-FR"/>
                    </w:rPr>
                    <w:t>HPV</w:t>
                  </w:r>
                </w:p>
              </w:tc>
              <w:tc>
                <w:tcPr>
                  <w:tcW w:w="4162" w:type="dxa"/>
                  <w:tcBorders>
                    <w:top w:val="single" w:sz="8" w:space="0" w:color="6D6D6D"/>
                    <w:left w:val="single" w:sz="8" w:space="0" w:color="6D6D6D"/>
                    <w:bottom w:val="single" w:sz="8" w:space="0" w:color="6D6D6D"/>
                    <w:right w:val="single" w:sz="8" w:space="0" w:color="6D6D6D"/>
                  </w:tcBorders>
                  <w:shd w:val="clear" w:color="auto" w:fill="auto"/>
                </w:tcPr>
                <w:p w14:paraId="39179BBC"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TDR de l’enquête CAP sur l’acceptabilité</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du nouveau</w:t>
                  </w:r>
                  <w:r w:rsidRPr="00453936">
                    <w:rPr>
                      <w:rFonts w:ascii="Calibri" w:eastAsia="Arial MT" w:hAnsi="Calibri" w:cs="Calibri"/>
                      <w:color w:val="auto"/>
                      <w:spacing w:val="-2"/>
                      <w:sz w:val="18"/>
                      <w:szCs w:val="18"/>
                      <w:lang w:val="fr-FR"/>
                    </w:rPr>
                    <w:t xml:space="preserve"> </w:t>
                  </w:r>
                  <w:r w:rsidRPr="00453936">
                    <w:rPr>
                      <w:rFonts w:ascii="Calibri" w:eastAsia="Arial MT" w:hAnsi="Calibri" w:cs="Calibri"/>
                      <w:color w:val="auto"/>
                      <w:sz w:val="18"/>
                      <w:szCs w:val="18"/>
                      <w:lang w:val="fr-FR"/>
                    </w:rPr>
                    <w:t>vaccin</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HPV</w:t>
                  </w:r>
                </w:p>
                <w:p w14:paraId="59BE3F41" w14:textId="77777777" w:rsidR="000030A4" w:rsidRPr="00453936" w:rsidRDefault="000030A4" w:rsidP="00F1675B">
                  <w:pPr>
                    <w:widowControl w:val="0"/>
                    <w:numPr>
                      <w:ilvl w:val="0"/>
                      <w:numId w:val="28"/>
                    </w:numPr>
                    <w:tabs>
                      <w:tab w:val="left" w:pos="256"/>
                    </w:tabs>
                    <w:autoSpaceDE w:val="0"/>
                    <w:autoSpaceDN w:val="0"/>
                    <w:spacing w:line="240" w:lineRule="auto"/>
                    <w:ind w:right="86"/>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de l’étude de l’enquête sur l’acceptabilité du nouveau</w:t>
                  </w:r>
                  <w:r w:rsidRPr="00453936">
                    <w:rPr>
                      <w:rFonts w:ascii="Calibri" w:eastAsia="Arial MT" w:hAnsi="Calibri" w:cs="Calibri"/>
                      <w:color w:val="auto"/>
                      <w:spacing w:val="-2"/>
                      <w:sz w:val="18"/>
                      <w:szCs w:val="18"/>
                      <w:lang w:val="fr-FR"/>
                    </w:rPr>
                    <w:t xml:space="preserve"> </w:t>
                  </w:r>
                  <w:r w:rsidRPr="00453936">
                    <w:rPr>
                      <w:rFonts w:ascii="Calibri" w:eastAsia="Arial MT" w:hAnsi="Calibri" w:cs="Calibri"/>
                      <w:color w:val="auto"/>
                      <w:sz w:val="18"/>
                      <w:szCs w:val="18"/>
                      <w:lang w:val="fr-FR"/>
                    </w:rPr>
                    <w:t>vaccin</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HPV</w:t>
                  </w:r>
                </w:p>
                <w:p w14:paraId="728D9726" w14:textId="77777777" w:rsidR="000030A4" w:rsidRPr="00453936" w:rsidRDefault="000030A4" w:rsidP="00F1675B">
                  <w:pPr>
                    <w:widowControl w:val="0"/>
                    <w:numPr>
                      <w:ilvl w:val="0"/>
                      <w:numId w:val="28"/>
                    </w:numPr>
                    <w:tabs>
                      <w:tab w:val="left" w:pos="256"/>
                    </w:tabs>
                    <w:autoSpaceDE w:val="0"/>
                    <w:autoSpaceDN w:val="0"/>
                    <w:spacing w:line="240" w:lineRule="auto"/>
                    <w:ind w:right="86"/>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Feuille</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de</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route</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pour</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les</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activités</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CSC</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préparatoires</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à</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l’introduction</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du nouvel</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anti HPV</w:t>
                  </w:r>
                </w:p>
                <w:p w14:paraId="3CEC7448" w14:textId="77777777" w:rsidR="000030A4" w:rsidRPr="00453936" w:rsidRDefault="000030A4" w:rsidP="00F1675B">
                  <w:pPr>
                    <w:widowControl w:val="0"/>
                    <w:numPr>
                      <w:ilvl w:val="0"/>
                      <w:numId w:val="28"/>
                    </w:numPr>
                    <w:tabs>
                      <w:tab w:val="left" w:pos="256"/>
                    </w:tabs>
                    <w:autoSpaceDE w:val="0"/>
                    <w:autoSpaceDN w:val="0"/>
                    <w:spacing w:line="240" w:lineRule="auto"/>
                    <w:ind w:right="88"/>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Plan de communication pour la</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campagne</w:t>
                  </w:r>
                  <w:r w:rsidRPr="00453936">
                    <w:rPr>
                      <w:rFonts w:ascii="Calibri" w:eastAsia="Arial MT" w:hAnsi="Calibri" w:cs="Calibri"/>
                      <w:color w:val="auto"/>
                      <w:spacing w:val="-45"/>
                      <w:sz w:val="18"/>
                      <w:szCs w:val="18"/>
                      <w:lang w:val="fr-FR"/>
                    </w:rPr>
                    <w:t xml:space="preserve"> </w:t>
                  </w:r>
                  <w:r w:rsidRPr="00453936">
                    <w:rPr>
                      <w:rFonts w:ascii="Calibri" w:eastAsia="Arial MT" w:hAnsi="Calibri" w:cs="Calibri"/>
                      <w:color w:val="auto"/>
                      <w:sz w:val="18"/>
                      <w:szCs w:val="18"/>
                      <w:lang w:val="fr-FR"/>
                    </w:rPr>
                    <w:t>d’introduction du nouveau vaccin HPV</w:t>
                  </w:r>
                </w:p>
                <w:p w14:paraId="5635C226" w14:textId="77777777" w:rsidR="000030A4" w:rsidRPr="00453936" w:rsidRDefault="000030A4" w:rsidP="00F1675B">
                  <w:pPr>
                    <w:widowControl w:val="0"/>
                    <w:numPr>
                      <w:ilvl w:val="0"/>
                      <w:numId w:val="28"/>
                    </w:numPr>
                    <w:tabs>
                      <w:tab w:val="left" w:pos="256"/>
                    </w:tabs>
                    <w:autoSpaceDE w:val="0"/>
                    <w:autoSpaceDN w:val="0"/>
                    <w:spacing w:line="240" w:lineRule="auto"/>
                    <w:ind w:right="88"/>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Elaboration des outils supports de communication (affiches, messages essentiels, spots radio &amp; TV) pour l’introduction du nouveau vaccin anti HPV</w:t>
                  </w:r>
                </w:p>
                <w:p w14:paraId="67661D65" w14:textId="77777777" w:rsidR="000030A4" w:rsidRPr="00453936" w:rsidRDefault="000030A4" w:rsidP="00F1675B">
                  <w:pPr>
                    <w:widowControl w:val="0"/>
                    <w:numPr>
                      <w:ilvl w:val="0"/>
                      <w:numId w:val="28"/>
                    </w:numPr>
                    <w:tabs>
                      <w:tab w:val="left" w:pos="256"/>
                    </w:tabs>
                    <w:autoSpaceDE w:val="0"/>
                    <w:autoSpaceDN w:val="0"/>
                    <w:spacing w:line="240" w:lineRule="auto"/>
                    <w:ind w:right="88"/>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mensuel d’avancement des activités</w:t>
                  </w:r>
                </w:p>
              </w:tc>
              <w:tc>
                <w:tcPr>
                  <w:tcW w:w="2048" w:type="dxa"/>
                  <w:tcBorders>
                    <w:top w:val="single" w:sz="8" w:space="0" w:color="6D6D6D"/>
                    <w:left w:val="single" w:sz="8" w:space="0" w:color="6D6D6D"/>
                    <w:bottom w:val="single" w:sz="8" w:space="0" w:color="6D6D6D"/>
                    <w:right w:val="single" w:sz="8" w:space="0" w:color="6D6D6D"/>
                  </w:tcBorders>
                  <w:shd w:val="clear" w:color="auto" w:fill="auto"/>
                </w:tcPr>
                <w:p w14:paraId="5382939E" w14:textId="77777777" w:rsidR="000030A4" w:rsidRPr="00453936" w:rsidRDefault="000030A4" w:rsidP="00F1675B">
                  <w:pPr>
                    <w:spacing w:before="60" w:after="60" w:line="240" w:lineRule="auto"/>
                    <w:rPr>
                      <w:rFonts w:ascii="Calibri" w:eastAsia="Arial Unicode MS" w:hAnsi="Calibri" w:cs="Calibri"/>
                      <w:color w:val="auto"/>
                      <w:lang w:val="fr-FR"/>
                    </w:rPr>
                  </w:pPr>
                  <w:r w:rsidRPr="00453936">
                    <w:rPr>
                      <w:rFonts w:ascii="Calibri" w:eastAsia="Arial Unicode MS" w:hAnsi="Calibri" w:cs="Calibri"/>
                      <w:color w:val="auto"/>
                      <w:lang w:val="fr-FR"/>
                    </w:rPr>
                    <w:t>16 Juil. 2024</w:t>
                  </w:r>
                </w:p>
              </w:tc>
            </w:tr>
            <w:tr w:rsidR="000030A4" w:rsidRPr="00453936" w14:paraId="19414375" w14:textId="77777777" w:rsidTr="00EC4652">
              <w:trPr>
                <w:trHeight w:val="368"/>
              </w:trPr>
              <w:tc>
                <w:tcPr>
                  <w:tcW w:w="3410" w:type="dxa"/>
                  <w:tcBorders>
                    <w:top w:val="single" w:sz="8" w:space="0" w:color="6D6D6D"/>
                    <w:left w:val="single" w:sz="8" w:space="0" w:color="6D6D6D"/>
                    <w:bottom w:val="single" w:sz="8" w:space="0" w:color="6D6D6D"/>
                    <w:right w:val="single" w:sz="8" w:space="0" w:color="6D6D6D"/>
                  </w:tcBorders>
                  <w:shd w:val="clear" w:color="auto" w:fill="auto"/>
                  <w:noWrap/>
                </w:tcPr>
                <w:p w14:paraId="4B2EFD60" w14:textId="77777777" w:rsidR="000030A4" w:rsidRPr="00453936" w:rsidRDefault="000030A4" w:rsidP="00F1675B">
                  <w:pPr>
                    <w:tabs>
                      <w:tab w:val="left" w:pos="1233"/>
                    </w:tabs>
                    <w:ind w:left="12" w:hanging="12"/>
                    <w:rPr>
                      <w:rFonts w:ascii="Calibri" w:eastAsia="Arial Unicode MS" w:hAnsi="Calibri" w:cs="Calibri"/>
                      <w:color w:val="auto"/>
                      <w:sz w:val="18"/>
                      <w:szCs w:val="18"/>
                      <w:lang w:val="fr-FR"/>
                    </w:rPr>
                  </w:pPr>
                  <w:r w:rsidRPr="00453936">
                    <w:rPr>
                      <w:rFonts w:ascii="Calibri" w:eastAsia="Arial Unicode MS" w:hAnsi="Calibri" w:cs="Calibri"/>
                      <w:color w:val="auto"/>
                      <w:sz w:val="18"/>
                      <w:szCs w:val="18"/>
                      <w:lang w:val="fr-FR"/>
                    </w:rPr>
                    <w:tab/>
                  </w:r>
                  <w:r w:rsidRPr="00453936">
                    <w:rPr>
                      <w:rFonts w:ascii="Calibri" w:hAnsi="Calibri" w:cs="Calibri"/>
                      <w:sz w:val="18"/>
                      <w:szCs w:val="18"/>
                      <w:lang w:val="fr-FR"/>
                    </w:rPr>
                    <w:t xml:space="preserve"> La Direction de la Promotion de la Santé (DPS) et le PEV sont soutenus mise en œuvre de la stratégie de plaidoyer en</w:t>
                  </w:r>
                  <w:r w:rsidRPr="00453936">
                    <w:rPr>
                      <w:rFonts w:ascii="Calibri" w:hAnsi="Calibri" w:cs="Calibri"/>
                      <w:spacing w:val="1"/>
                      <w:sz w:val="18"/>
                      <w:szCs w:val="18"/>
                      <w:lang w:val="fr-FR"/>
                    </w:rPr>
                    <w:t xml:space="preserve"> </w:t>
                  </w:r>
                  <w:r w:rsidRPr="00453936">
                    <w:rPr>
                      <w:rFonts w:ascii="Calibri" w:hAnsi="Calibri" w:cs="Calibri"/>
                      <w:sz w:val="18"/>
                      <w:szCs w:val="18"/>
                      <w:lang w:val="fr-FR"/>
                    </w:rPr>
                    <w:t>faveur</w:t>
                  </w:r>
                  <w:r w:rsidRPr="00453936">
                    <w:rPr>
                      <w:rFonts w:ascii="Calibri" w:hAnsi="Calibri" w:cs="Calibri"/>
                      <w:spacing w:val="1"/>
                      <w:sz w:val="18"/>
                      <w:szCs w:val="18"/>
                      <w:lang w:val="fr-FR"/>
                    </w:rPr>
                    <w:t xml:space="preserve"> </w:t>
                  </w:r>
                  <w:r w:rsidRPr="00453936">
                    <w:rPr>
                      <w:rFonts w:ascii="Calibri" w:hAnsi="Calibri" w:cs="Calibri"/>
                      <w:sz w:val="18"/>
                      <w:szCs w:val="18"/>
                      <w:lang w:val="fr-FR"/>
                    </w:rPr>
                    <w:t>de</w:t>
                  </w:r>
                  <w:r w:rsidRPr="00453936">
                    <w:rPr>
                      <w:rFonts w:ascii="Calibri" w:hAnsi="Calibri" w:cs="Calibri"/>
                      <w:spacing w:val="1"/>
                      <w:sz w:val="18"/>
                      <w:szCs w:val="18"/>
                      <w:lang w:val="fr-FR"/>
                    </w:rPr>
                    <w:t xml:space="preserve"> </w:t>
                  </w:r>
                  <w:r w:rsidRPr="00453936">
                    <w:rPr>
                      <w:rFonts w:ascii="Calibri" w:hAnsi="Calibri" w:cs="Calibri"/>
                      <w:sz w:val="18"/>
                      <w:szCs w:val="18"/>
                      <w:lang w:val="fr-FR"/>
                    </w:rPr>
                    <w:t>l’introduction du vaccin anti HPV.</w:t>
                  </w:r>
                </w:p>
              </w:tc>
              <w:tc>
                <w:tcPr>
                  <w:tcW w:w="4162" w:type="dxa"/>
                  <w:tcBorders>
                    <w:top w:val="single" w:sz="8" w:space="0" w:color="6D6D6D"/>
                    <w:left w:val="single" w:sz="8" w:space="0" w:color="6D6D6D"/>
                    <w:bottom w:val="single" w:sz="8" w:space="0" w:color="6D6D6D"/>
                    <w:right w:val="single" w:sz="8" w:space="0" w:color="6D6D6D"/>
                  </w:tcBorders>
                  <w:shd w:val="clear" w:color="auto" w:fill="auto"/>
                </w:tcPr>
                <w:p w14:paraId="64BB3419"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la réunion de plaidoyer auprès des autorités politico administrative, religieuses, traditionnelle pour leur engagement en faveur du vaccin anti HPV à Djibouti-ville &amp; dans les régions de l’intérieur ;</w:t>
                  </w:r>
                </w:p>
                <w:p w14:paraId="7CCA9651"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Lettre d’engagement des sociétés savantes (ordre des médecins, infirmiers, pharmaciens etc.) pour leur engagement en faveur du vaccins anti HPV ;</w:t>
                  </w:r>
                </w:p>
                <w:p w14:paraId="02F5AF92"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de réunion de plaidoyer avec les responsables du ministère de l’éducation nationale et formation professionnelle, les responsables d’établissement scolaires et directeurs d’écoles pour leur engagement en faveur du vaccin anti HPV ;</w:t>
                  </w:r>
                </w:p>
                <w:p w14:paraId="265D172F"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Rapports de réunions de plaidoyer avec l’Union Nationale des femmes de Djibouti (UNFD) et les associations femmes pour leur engagement en faveur du vaccin anti HPV </w:t>
                  </w:r>
                </w:p>
                <w:p w14:paraId="5C4F20D2"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mensuel d’avancement des activités</w:t>
                  </w:r>
                </w:p>
              </w:tc>
              <w:tc>
                <w:tcPr>
                  <w:tcW w:w="2048" w:type="dxa"/>
                  <w:tcBorders>
                    <w:top w:val="single" w:sz="8" w:space="0" w:color="6D6D6D"/>
                    <w:left w:val="single" w:sz="8" w:space="0" w:color="6D6D6D"/>
                    <w:bottom w:val="single" w:sz="8" w:space="0" w:color="6D6D6D"/>
                    <w:right w:val="single" w:sz="8" w:space="0" w:color="6D6D6D"/>
                  </w:tcBorders>
                  <w:shd w:val="clear" w:color="auto" w:fill="auto"/>
                </w:tcPr>
                <w:p w14:paraId="62AAF25A" w14:textId="77777777" w:rsidR="000030A4" w:rsidRPr="00453936" w:rsidRDefault="000030A4" w:rsidP="00F1675B">
                  <w:pPr>
                    <w:spacing w:before="60" w:after="60" w:line="240" w:lineRule="auto"/>
                    <w:rPr>
                      <w:rFonts w:ascii="Calibri" w:eastAsia="Arial Unicode MS" w:hAnsi="Calibri" w:cs="Calibri"/>
                      <w:color w:val="auto"/>
                      <w:lang w:val="fr-FR"/>
                    </w:rPr>
                  </w:pPr>
                  <w:r w:rsidRPr="00453936">
                    <w:rPr>
                      <w:rFonts w:ascii="Calibri" w:eastAsia="Arial Unicode MS" w:hAnsi="Calibri" w:cs="Calibri"/>
                      <w:color w:val="auto"/>
                      <w:lang w:val="fr-FR"/>
                    </w:rPr>
                    <w:t>16 Aout 2024</w:t>
                  </w:r>
                </w:p>
              </w:tc>
            </w:tr>
            <w:tr w:rsidR="000030A4" w:rsidRPr="00453936" w14:paraId="00355594" w14:textId="77777777" w:rsidTr="00EC4652">
              <w:trPr>
                <w:trHeight w:val="368"/>
              </w:trPr>
              <w:tc>
                <w:tcPr>
                  <w:tcW w:w="3410" w:type="dxa"/>
                  <w:tcBorders>
                    <w:top w:val="single" w:sz="8" w:space="0" w:color="6D6D6D"/>
                    <w:left w:val="single" w:sz="8" w:space="0" w:color="6D6D6D"/>
                    <w:bottom w:val="single" w:sz="8" w:space="0" w:color="6D6D6D"/>
                    <w:right w:val="single" w:sz="8" w:space="0" w:color="6D6D6D"/>
                  </w:tcBorders>
                  <w:shd w:val="clear" w:color="auto" w:fill="auto"/>
                  <w:noWrap/>
                </w:tcPr>
                <w:p w14:paraId="77C5AEDA" w14:textId="77777777" w:rsidR="000030A4" w:rsidRPr="00453936" w:rsidRDefault="000030A4" w:rsidP="00F1675B">
                  <w:pPr>
                    <w:ind w:left="12" w:hanging="12"/>
                    <w:rPr>
                      <w:rFonts w:ascii="Calibri" w:eastAsia="Arial Unicode MS" w:hAnsi="Calibri" w:cs="Calibri"/>
                      <w:color w:val="auto"/>
                      <w:lang w:val="fr-FR"/>
                    </w:rPr>
                  </w:pPr>
                  <w:r w:rsidRPr="00453936">
                    <w:rPr>
                      <w:rFonts w:ascii="Calibri" w:hAnsi="Calibri" w:cs="Calibri"/>
                      <w:sz w:val="18"/>
                      <w:szCs w:val="18"/>
                      <w:lang w:val="fr-FR"/>
                    </w:rPr>
                    <w:t>Les capacités des équipes de la DPS, du PEV, des acteurs communautés sont renforcées sont renforcées dans le cadre du CSC en faveur de l’introduction du nouveau vaccins</w:t>
                  </w:r>
                  <w:r w:rsidRPr="00453936">
                    <w:rPr>
                      <w:rFonts w:ascii="Calibri" w:hAnsi="Calibri" w:cs="Calibri"/>
                      <w:spacing w:val="-4"/>
                      <w:sz w:val="18"/>
                      <w:szCs w:val="18"/>
                      <w:lang w:val="fr-FR"/>
                    </w:rPr>
                    <w:t xml:space="preserve"> </w:t>
                  </w:r>
                  <w:r w:rsidRPr="00453936">
                    <w:rPr>
                      <w:rFonts w:ascii="Calibri" w:hAnsi="Calibri" w:cs="Calibri"/>
                      <w:sz w:val="18"/>
                      <w:szCs w:val="18"/>
                      <w:lang w:val="fr-FR"/>
                    </w:rPr>
                    <w:t>HPV</w:t>
                  </w:r>
                </w:p>
              </w:tc>
              <w:tc>
                <w:tcPr>
                  <w:tcW w:w="4162" w:type="dxa"/>
                  <w:tcBorders>
                    <w:top w:val="single" w:sz="8" w:space="0" w:color="6D6D6D"/>
                    <w:left w:val="single" w:sz="8" w:space="0" w:color="6D6D6D"/>
                    <w:bottom w:val="single" w:sz="8" w:space="0" w:color="6D6D6D"/>
                    <w:right w:val="single" w:sz="8" w:space="0" w:color="6D6D6D"/>
                  </w:tcBorders>
                  <w:shd w:val="clear" w:color="auto" w:fill="auto"/>
                </w:tcPr>
                <w:p w14:paraId="75D1C8BE"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Plan de formation des acteurs</w:t>
                  </w:r>
                </w:p>
                <w:p w14:paraId="0C0F226E"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Modules SBC pour la formation différents acteurs (PEV, DPS, relais communautaires) dans le cadre de l’introduction du nouveau vaccin HPV ;</w:t>
                  </w:r>
                </w:p>
                <w:p w14:paraId="3BA87DC0"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du briefing des médias pour l’introduction du vaccin HPV</w:t>
                  </w:r>
                </w:p>
                <w:p w14:paraId="49ECF389" w14:textId="77777777" w:rsidR="000030A4" w:rsidRPr="00453936" w:rsidRDefault="000030A4" w:rsidP="00F1675B">
                  <w:pPr>
                    <w:widowControl w:val="0"/>
                    <w:numPr>
                      <w:ilvl w:val="0"/>
                      <w:numId w:val="28"/>
                    </w:numPr>
                    <w:tabs>
                      <w:tab w:val="left" w:pos="256"/>
                    </w:tabs>
                    <w:autoSpaceDE w:val="0"/>
                    <w:autoSpaceDN w:val="0"/>
                    <w:spacing w:line="240" w:lineRule="auto"/>
                    <w:ind w:right="90"/>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mensuel d’avancement des activités</w:t>
                  </w:r>
                </w:p>
              </w:tc>
              <w:tc>
                <w:tcPr>
                  <w:tcW w:w="2048" w:type="dxa"/>
                  <w:tcBorders>
                    <w:top w:val="single" w:sz="8" w:space="0" w:color="6D6D6D"/>
                    <w:left w:val="single" w:sz="8" w:space="0" w:color="6D6D6D"/>
                    <w:bottom w:val="single" w:sz="8" w:space="0" w:color="6D6D6D"/>
                    <w:right w:val="single" w:sz="8" w:space="0" w:color="6D6D6D"/>
                  </w:tcBorders>
                  <w:shd w:val="clear" w:color="auto" w:fill="auto"/>
                </w:tcPr>
                <w:p w14:paraId="22479EDF" w14:textId="77777777" w:rsidR="000030A4" w:rsidRPr="00453936" w:rsidRDefault="000030A4" w:rsidP="00F1675B">
                  <w:pPr>
                    <w:spacing w:before="60" w:after="60" w:line="240" w:lineRule="auto"/>
                    <w:rPr>
                      <w:rFonts w:ascii="Calibri" w:eastAsia="Arial Unicode MS" w:hAnsi="Calibri" w:cs="Calibri"/>
                      <w:color w:val="auto"/>
                      <w:lang w:val="fr-FR"/>
                    </w:rPr>
                  </w:pPr>
                  <w:r w:rsidRPr="00453936">
                    <w:rPr>
                      <w:rFonts w:ascii="Calibri" w:eastAsia="Arial Unicode MS" w:hAnsi="Calibri" w:cs="Calibri"/>
                      <w:color w:val="auto"/>
                      <w:lang w:val="fr-FR"/>
                    </w:rPr>
                    <w:t>16 Sept. 2024</w:t>
                  </w:r>
                </w:p>
              </w:tc>
            </w:tr>
            <w:tr w:rsidR="000030A4" w:rsidRPr="00453936" w14:paraId="03D95E87" w14:textId="77777777" w:rsidTr="00EC4652">
              <w:trPr>
                <w:trHeight w:val="368"/>
              </w:trPr>
              <w:tc>
                <w:tcPr>
                  <w:tcW w:w="3410" w:type="dxa"/>
                  <w:tcBorders>
                    <w:top w:val="single" w:sz="8" w:space="0" w:color="6D6D6D"/>
                    <w:left w:val="single" w:sz="8" w:space="0" w:color="6D6D6D"/>
                    <w:bottom w:val="single" w:sz="8" w:space="0" w:color="6D6D6D"/>
                    <w:right w:val="single" w:sz="8" w:space="0" w:color="6D6D6D"/>
                  </w:tcBorders>
                  <w:shd w:val="clear" w:color="auto" w:fill="auto"/>
                  <w:noWrap/>
                </w:tcPr>
                <w:p w14:paraId="1920AC4A" w14:textId="77777777" w:rsidR="000030A4" w:rsidRPr="00453936" w:rsidRDefault="000030A4" w:rsidP="00F1675B">
                  <w:pPr>
                    <w:ind w:left="12" w:hanging="12"/>
                    <w:rPr>
                      <w:rFonts w:ascii="Calibri" w:eastAsia="Arial Unicode MS" w:hAnsi="Calibri" w:cs="Calibri"/>
                      <w:color w:val="auto"/>
                      <w:lang w:val="fr-FR"/>
                    </w:rPr>
                  </w:pPr>
                  <w:r w:rsidRPr="00453936">
                    <w:rPr>
                      <w:rFonts w:ascii="Calibri" w:hAnsi="Calibri" w:cs="Calibri"/>
                      <w:sz w:val="18"/>
                      <w:szCs w:val="18"/>
                      <w:lang w:val="fr-FR"/>
                    </w:rPr>
                    <w:t>La DPS et le PEV sont soutenus dans le suivi, l’analyse et la gestion des rumeurs liées à l’introduction du vaccin anti HPV.</w:t>
                  </w:r>
                </w:p>
              </w:tc>
              <w:tc>
                <w:tcPr>
                  <w:tcW w:w="4162" w:type="dxa"/>
                  <w:tcBorders>
                    <w:top w:val="single" w:sz="8" w:space="0" w:color="6D6D6D"/>
                    <w:left w:val="single" w:sz="8" w:space="0" w:color="6D6D6D"/>
                    <w:bottom w:val="single" w:sz="8" w:space="0" w:color="6D6D6D"/>
                    <w:right w:val="single" w:sz="8" w:space="0" w:color="6D6D6D"/>
                  </w:tcBorders>
                  <w:shd w:val="clear" w:color="auto" w:fill="auto"/>
                </w:tcPr>
                <w:p w14:paraId="157E5C18" w14:textId="77777777" w:rsidR="000030A4" w:rsidRPr="00453936" w:rsidRDefault="000030A4" w:rsidP="00F1675B">
                  <w:pPr>
                    <w:widowControl w:val="0"/>
                    <w:numPr>
                      <w:ilvl w:val="0"/>
                      <w:numId w:val="28"/>
                    </w:numPr>
                    <w:tabs>
                      <w:tab w:val="left" w:pos="256"/>
                    </w:tabs>
                    <w:autoSpaceDE w:val="0"/>
                    <w:autoSpaceDN w:val="0"/>
                    <w:spacing w:line="240" w:lineRule="auto"/>
                    <w:ind w:right="86" w:hanging="154"/>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Suivi et analyse</w:t>
                  </w:r>
                  <w:r w:rsidRPr="00453936">
                    <w:rPr>
                      <w:rFonts w:ascii="Calibri" w:eastAsia="Arial MT" w:hAnsi="Calibri" w:cs="Calibri"/>
                      <w:color w:val="auto"/>
                      <w:spacing w:val="-4"/>
                      <w:sz w:val="18"/>
                      <w:szCs w:val="18"/>
                      <w:lang w:val="fr-FR"/>
                    </w:rPr>
                    <w:t xml:space="preserve">, </w:t>
                  </w:r>
                  <w:r w:rsidRPr="00453936">
                    <w:rPr>
                      <w:rFonts w:ascii="Calibri" w:eastAsia="Arial MT" w:hAnsi="Calibri" w:cs="Calibri"/>
                      <w:color w:val="auto"/>
                      <w:sz w:val="18"/>
                      <w:szCs w:val="18"/>
                      <w:lang w:val="fr-FR"/>
                    </w:rPr>
                    <w:t>gestion</w:t>
                  </w:r>
                  <w:r w:rsidRPr="00453936">
                    <w:rPr>
                      <w:rFonts w:ascii="Calibri" w:eastAsia="Arial MT" w:hAnsi="Calibri" w:cs="Calibri"/>
                      <w:color w:val="auto"/>
                      <w:spacing w:val="-7"/>
                      <w:sz w:val="18"/>
                      <w:szCs w:val="18"/>
                      <w:lang w:val="fr-FR"/>
                    </w:rPr>
                    <w:t xml:space="preserve"> </w:t>
                  </w:r>
                  <w:r w:rsidRPr="00453936">
                    <w:rPr>
                      <w:rFonts w:ascii="Calibri" w:eastAsia="Arial MT" w:hAnsi="Calibri" w:cs="Calibri"/>
                      <w:color w:val="auto"/>
                      <w:sz w:val="18"/>
                      <w:szCs w:val="18"/>
                      <w:lang w:val="fr-FR"/>
                    </w:rPr>
                    <w:t>des</w:t>
                  </w:r>
                  <w:r w:rsidRPr="00453936">
                    <w:rPr>
                      <w:rFonts w:ascii="Calibri" w:eastAsia="Arial MT" w:hAnsi="Calibri" w:cs="Calibri"/>
                      <w:color w:val="auto"/>
                      <w:spacing w:val="-3"/>
                      <w:sz w:val="18"/>
                      <w:szCs w:val="18"/>
                      <w:lang w:val="fr-FR"/>
                    </w:rPr>
                    <w:t xml:space="preserve"> </w:t>
                  </w:r>
                  <w:r w:rsidRPr="00453936">
                    <w:rPr>
                      <w:rFonts w:ascii="Calibri" w:eastAsia="Arial MT" w:hAnsi="Calibri" w:cs="Calibri"/>
                      <w:color w:val="auto"/>
                      <w:sz w:val="18"/>
                      <w:szCs w:val="18"/>
                      <w:lang w:val="fr-FR"/>
                    </w:rPr>
                    <w:t>rumeurs,</w:t>
                  </w:r>
                  <w:r w:rsidRPr="00453936">
                    <w:rPr>
                      <w:rFonts w:ascii="Calibri" w:eastAsia="Arial MT" w:hAnsi="Calibri" w:cs="Calibri"/>
                      <w:color w:val="auto"/>
                      <w:spacing w:val="-5"/>
                      <w:sz w:val="18"/>
                      <w:szCs w:val="18"/>
                      <w:lang w:val="fr-FR"/>
                    </w:rPr>
                    <w:t xml:space="preserve"> </w:t>
                  </w:r>
                  <w:r w:rsidRPr="00453936">
                    <w:rPr>
                      <w:rFonts w:ascii="Calibri" w:eastAsia="Arial MT" w:hAnsi="Calibri" w:cs="Calibri"/>
                      <w:color w:val="auto"/>
                      <w:sz w:val="18"/>
                      <w:szCs w:val="18"/>
                      <w:lang w:val="fr-FR"/>
                    </w:rPr>
                    <w:t>de</w:t>
                  </w:r>
                  <w:r w:rsidRPr="00453936">
                    <w:rPr>
                      <w:rFonts w:ascii="Calibri" w:eastAsia="Arial MT" w:hAnsi="Calibri" w:cs="Calibri"/>
                      <w:color w:val="auto"/>
                      <w:spacing w:val="-45"/>
                      <w:sz w:val="18"/>
                      <w:szCs w:val="18"/>
                      <w:lang w:val="fr-FR"/>
                    </w:rPr>
                    <w:t xml:space="preserve">       </w:t>
                  </w:r>
                  <w:r w:rsidRPr="00453936">
                    <w:rPr>
                      <w:rFonts w:ascii="Calibri" w:eastAsia="Arial MT" w:hAnsi="Calibri" w:cs="Calibri"/>
                      <w:color w:val="auto"/>
                      <w:sz w:val="18"/>
                      <w:szCs w:val="18"/>
                      <w:lang w:val="fr-FR"/>
                    </w:rPr>
                    <w:t>la désinformation associant l'écoute et</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l'analyse sociales et la communication des</w:t>
                  </w:r>
                  <w:r w:rsidRPr="00453936">
                    <w:rPr>
                      <w:rFonts w:ascii="Calibri" w:eastAsia="Arial MT" w:hAnsi="Calibri" w:cs="Calibri"/>
                      <w:color w:val="auto"/>
                      <w:spacing w:val="-45"/>
                      <w:sz w:val="18"/>
                      <w:szCs w:val="18"/>
                      <w:lang w:val="fr-FR"/>
                    </w:rPr>
                    <w:t xml:space="preserve"> </w:t>
                  </w:r>
                  <w:r w:rsidRPr="00453936">
                    <w:rPr>
                      <w:rFonts w:ascii="Calibri" w:eastAsia="Arial MT" w:hAnsi="Calibri" w:cs="Calibri"/>
                      <w:color w:val="auto"/>
                      <w:sz w:val="18"/>
                      <w:szCs w:val="18"/>
                      <w:lang w:val="fr-FR"/>
                    </w:rPr>
                    <w:t>risques online et offline autour du nouveau vaccin anti HPV ;</w:t>
                  </w:r>
                </w:p>
                <w:p w14:paraId="2B9FB1F5" w14:textId="77777777" w:rsidR="000030A4" w:rsidRPr="00453936" w:rsidRDefault="000030A4" w:rsidP="00F1675B">
                  <w:pPr>
                    <w:widowControl w:val="0"/>
                    <w:numPr>
                      <w:ilvl w:val="0"/>
                      <w:numId w:val="28"/>
                    </w:numPr>
                    <w:tabs>
                      <w:tab w:val="left" w:pos="256"/>
                    </w:tabs>
                    <w:autoSpaceDE w:val="0"/>
                    <w:autoSpaceDN w:val="0"/>
                    <w:spacing w:line="240" w:lineRule="auto"/>
                    <w:ind w:right="86" w:hanging="154"/>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Plan de communication de crise réactualisé et suivi</w:t>
                  </w:r>
                </w:p>
                <w:p w14:paraId="287ADA9B" w14:textId="77777777" w:rsidR="000030A4" w:rsidRPr="00453936" w:rsidRDefault="000030A4" w:rsidP="00F1675B">
                  <w:pPr>
                    <w:widowControl w:val="0"/>
                    <w:numPr>
                      <w:ilvl w:val="0"/>
                      <w:numId w:val="28"/>
                    </w:numPr>
                    <w:tabs>
                      <w:tab w:val="left" w:pos="256"/>
                    </w:tabs>
                    <w:autoSpaceDE w:val="0"/>
                    <w:autoSpaceDN w:val="0"/>
                    <w:spacing w:line="240" w:lineRule="auto"/>
                    <w:ind w:right="86" w:hanging="154"/>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mensuel d’avancement des activités</w:t>
                  </w:r>
                </w:p>
              </w:tc>
              <w:tc>
                <w:tcPr>
                  <w:tcW w:w="2048" w:type="dxa"/>
                  <w:tcBorders>
                    <w:top w:val="single" w:sz="8" w:space="0" w:color="6D6D6D"/>
                    <w:left w:val="single" w:sz="8" w:space="0" w:color="6D6D6D"/>
                    <w:bottom w:val="single" w:sz="8" w:space="0" w:color="6D6D6D"/>
                    <w:right w:val="single" w:sz="8" w:space="0" w:color="6D6D6D"/>
                  </w:tcBorders>
                  <w:shd w:val="clear" w:color="auto" w:fill="auto"/>
                </w:tcPr>
                <w:p w14:paraId="0C2126C2" w14:textId="77777777" w:rsidR="000030A4" w:rsidRPr="00453936" w:rsidRDefault="000030A4" w:rsidP="00F1675B">
                  <w:pPr>
                    <w:spacing w:before="60" w:after="60" w:line="240" w:lineRule="auto"/>
                    <w:rPr>
                      <w:rFonts w:ascii="Calibri" w:eastAsia="Arial Unicode MS" w:hAnsi="Calibri" w:cs="Calibri"/>
                      <w:color w:val="auto"/>
                      <w:lang w:val="fr-FR"/>
                    </w:rPr>
                  </w:pPr>
                  <w:r w:rsidRPr="00453936">
                    <w:rPr>
                      <w:rFonts w:ascii="Calibri" w:eastAsia="Arial Unicode MS" w:hAnsi="Calibri" w:cs="Calibri"/>
                      <w:color w:val="auto"/>
                      <w:lang w:val="fr-FR"/>
                    </w:rPr>
                    <w:t>16 Oct. 2024</w:t>
                  </w:r>
                </w:p>
              </w:tc>
            </w:tr>
            <w:tr w:rsidR="000030A4" w:rsidRPr="00453936" w14:paraId="302785F0" w14:textId="77777777" w:rsidTr="00EC4652">
              <w:trPr>
                <w:trHeight w:val="368"/>
              </w:trPr>
              <w:tc>
                <w:tcPr>
                  <w:tcW w:w="3410" w:type="dxa"/>
                  <w:tcBorders>
                    <w:top w:val="single" w:sz="8" w:space="0" w:color="6D6D6D"/>
                    <w:left w:val="single" w:sz="8" w:space="0" w:color="6D6D6D"/>
                    <w:bottom w:val="single" w:sz="8" w:space="0" w:color="6D6D6D"/>
                    <w:right w:val="single" w:sz="8" w:space="0" w:color="6D6D6D"/>
                  </w:tcBorders>
                  <w:shd w:val="clear" w:color="auto" w:fill="auto"/>
                  <w:noWrap/>
                </w:tcPr>
                <w:p w14:paraId="450C0588" w14:textId="77777777" w:rsidR="000030A4" w:rsidRPr="00453936" w:rsidRDefault="000030A4" w:rsidP="00F1675B">
                  <w:pPr>
                    <w:widowControl w:val="0"/>
                    <w:autoSpaceDE w:val="0"/>
                    <w:autoSpaceDN w:val="0"/>
                    <w:spacing w:line="176" w:lineRule="exact"/>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Expertise</w:t>
                  </w:r>
                  <w:r w:rsidRPr="00453936">
                    <w:rPr>
                      <w:rFonts w:ascii="Calibri" w:eastAsia="Arial MT" w:hAnsi="Calibri" w:cs="Calibri"/>
                      <w:color w:val="auto"/>
                      <w:spacing w:val="-5"/>
                      <w:sz w:val="18"/>
                      <w:szCs w:val="18"/>
                      <w:lang w:val="fr-FR"/>
                    </w:rPr>
                    <w:t xml:space="preserve"> </w:t>
                  </w:r>
                  <w:r w:rsidRPr="00453936">
                    <w:rPr>
                      <w:rFonts w:ascii="Calibri" w:eastAsia="Arial MT" w:hAnsi="Calibri" w:cs="Calibri"/>
                      <w:color w:val="auto"/>
                      <w:sz w:val="18"/>
                      <w:szCs w:val="18"/>
                      <w:lang w:val="fr-FR"/>
                    </w:rPr>
                    <w:t>technique</w:t>
                  </w:r>
                  <w:r w:rsidRPr="00453936">
                    <w:rPr>
                      <w:rFonts w:ascii="Calibri" w:eastAsia="Arial MT" w:hAnsi="Calibri" w:cs="Calibri"/>
                      <w:color w:val="auto"/>
                      <w:spacing w:val="-6"/>
                      <w:sz w:val="18"/>
                      <w:szCs w:val="18"/>
                      <w:lang w:val="fr-FR"/>
                    </w:rPr>
                    <w:t xml:space="preserve"> </w:t>
                  </w:r>
                  <w:r w:rsidRPr="00453936">
                    <w:rPr>
                      <w:rFonts w:ascii="Calibri" w:eastAsia="Arial MT" w:hAnsi="Calibri" w:cs="Calibri"/>
                      <w:color w:val="auto"/>
                      <w:sz w:val="18"/>
                      <w:szCs w:val="18"/>
                      <w:lang w:val="fr-FR"/>
                    </w:rPr>
                    <w:t>apportée</w:t>
                  </w:r>
                  <w:r w:rsidRPr="00453936">
                    <w:rPr>
                      <w:rFonts w:ascii="Calibri" w:eastAsia="Arial MT" w:hAnsi="Calibri" w:cs="Calibri"/>
                      <w:color w:val="auto"/>
                      <w:spacing w:val="-8"/>
                      <w:sz w:val="18"/>
                      <w:szCs w:val="18"/>
                      <w:lang w:val="fr-FR"/>
                    </w:rPr>
                    <w:t xml:space="preserve"> </w:t>
                  </w:r>
                  <w:r w:rsidRPr="00453936">
                    <w:rPr>
                      <w:rFonts w:ascii="Calibri" w:eastAsia="Arial MT" w:hAnsi="Calibri" w:cs="Calibri"/>
                      <w:color w:val="auto"/>
                      <w:sz w:val="18"/>
                      <w:szCs w:val="18"/>
                      <w:lang w:val="fr-FR"/>
                    </w:rPr>
                    <w:t>au</w:t>
                  </w:r>
                  <w:r w:rsidRPr="00453936">
                    <w:rPr>
                      <w:rFonts w:ascii="Calibri" w:eastAsia="Arial MT" w:hAnsi="Calibri" w:cs="Calibri"/>
                      <w:color w:val="auto"/>
                      <w:spacing w:val="-5"/>
                      <w:sz w:val="18"/>
                      <w:szCs w:val="18"/>
                      <w:lang w:val="fr-FR"/>
                    </w:rPr>
                    <w:t xml:space="preserve"> </w:t>
                  </w:r>
                  <w:r w:rsidRPr="00453936">
                    <w:rPr>
                      <w:rFonts w:ascii="Calibri" w:eastAsia="Arial MT" w:hAnsi="Calibri" w:cs="Calibri"/>
                      <w:color w:val="auto"/>
                      <w:sz w:val="18"/>
                      <w:szCs w:val="18"/>
                      <w:lang w:val="fr-FR"/>
                    </w:rPr>
                    <w:t>PEV</w:t>
                  </w:r>
                  <w:r w:rsidRPr="00453936">
                    <w:rPr>
                      <w:rFonts w:ascii="Calibri" w:eastAsia="Arial MT" w:hAnsi="Calibri" w:cs="Calibri"/>
                      <w:color w:val="auto"/>
                      <w:spacing w:val="-5"/>
                      <w:sz w:val="18"/>
                      <w:szCs w:val="18"/>
                      <w:lang w:val="fr-FR"/>
                    </w:rPr>
                    <w:t xml:space="preserve"> </w:t>
                  </w:r>
                  <w:r w:rsidRPr="00453936">
                    <w:rPr>
                      <w:rFonts w:ascii="Calibri" w:eastAsia="Arial MT" w:hAnsi="Calibri" w:cs="Calibri"/>
                      <w:color w:val="auto"/>
                      <w:sz w:val="18"/>
                      <w:szCs w:val="18"/>
                      <w:lang w:val="fr-FR"/>
                    </w:rPr>
                    <w:t>sur</w:t>
                  </w:r>
                </w:p>
                <w:p w14:paraId="793D1DDA" w14:textId="77777777" w:rsidR="000030A4" w:rsidRPr="00453936" w:rsidRDefault="000030A4" w:rsidP="00F1675B">
                  <w:pPr>
                    <w:ind w:left="12" w:hanging="12"/>
                    <w:rPr>
                      <w:rFonts w:ascii="Calibri" w:eastAsia="Arial Unicode MS" w:hAnsi="Calibri" w:cs="Calibri"/>
                      <w:color w:val="auto"/>
                      <w:lang w:val="fr-FR"/>
                    </w:rPr>
                  </w:pPr>
                  <w:r w:rsidRPr="00453936">
                    <w:rPr>
                      <w:rFonts w:ascii="Calibri" w:hAnsi="Calibri" w:cs="Calibri"/>
                      <w:sz w:val="18"/>
                      <w:szCs w:val="18"/>
                      <w:lang w:val="fr-FR"/>
                    </w:rPr>
                    <w:t>la</w:t>
                  </w:r>
                  <w:r w:rsidRPr="00453936">
                    <w:rPr>
                      <w:rFonts w:ascii="Calibri" w:hAnsi="Calibri" w:cs="Calibri"/>
                      <w:spacing w:val="-10"/>
                      <w:sz w:val="18"/>
                      <w:szCs w:val="18"/>
                      <w:lang w:val="fr-FR"/>
                    </w:rPr>
                    <w:t xml:space="preserve"> </w:t>
                  </w:r>
                  <w:r w:rsidRPr="00453936">
                    <w:rPr>
                      <w:rFonts w:ascii="Calibri" w:hAnsi="Calibri" w:cs="Calibri"/>
                      <w:sz w:val="18"/>
                      <w:szCs w:val="18"/>
                      <w:lang w:val="fr-FR"/>
                    </w:rPr>
                    <w:t>base</w:t>
                  </w:r>
                  <w:r w:rsidRPr="00453936">
                    <w:rPr>
                      <w:rFonts w:ascii="Calibri" w:hAnsi="Calibri" w:cs="Calibri"/>
                      <w:spacing w:val="-10"/>
                      <w:sz w:val="18"/>
                      <w:szCs w:val="18"/>
                      <w:lang w:val="fr-FR"/>
                    </w:rPr>
                    <w:t xml:space="preserve"> </w:t>
                  </w:r>
                  <w:r w:rsidRPr="00453936">
                    <w:rPr>
                      <w:rFonts w:ascii="Calibri" w:hAnsi="Calibri" w:cs="Calibri"/>
                      <w:sz w:val="18"/>
                      <w:szCs w:val="18"/>
                      <w:lang w:val="fr-FR"/>
                    </w:rPr>
                    <w:t>des</w:t>
                  </w:r>
                  <w:r w:rsidRPr="00453936">
                    <w:rPr>
                      <w:rFonts w:ascii="Calibri" w:hAnsi="Calibri" w:cs="Calibri"/>
                      <w:spacing w:val="-9"/>
                      <w:sz w:val="18"/>
                      <w:szCs w:val="18"/>
                      <w:lang w:val="fr-FR"/>
                    </w:rPr>
                    <w:t xml:space="preserve"> </w:t>
                  </w:r>
                  <w:r w:rsidRPr="00453936">
                    <w:rPr>
                      <w:rFonts w:ascii="Calibri" w:hAnsi="Calibri" w:cs="Calibri"/>
                      <w:sz w:val="18"/>
                      <w:szCs w:val="18"/>
                      <w:lang w:val="fr-FR"/>
                    </w:rPr>
                    <w:t>données</w:t>
                  </w:r>
                  <w:r w:rsidRPr="00453936">
                    <w:rPr>
                      <w:rFonts w:ascii="Calibri" w:hAnsi="Calibri" w:cs="Calibri"/>
                      <w:spacing w:val="-7"/>
                      <w:sz w:val="18"/>
                      <w:szCs w:val="18"/>
                      <w:lang w:val="fr-FR"/>
                    </w:rPr>
                    <w:t xml:space="preserve"> </w:t>
                  </w:r>
                  <w:r w:rsidRPr="00453936">
                    <w:rPr>
                      <w:rFonts w:ascii="Calibri" w:hAnsi="Calibri" w:cs="Calibri"/>
                      <w:sz w:val="18"/>
                      <w:szCs w:val="18"/>
                      <w:lang w:val="fr-FR"/>
                    </w:rPr>
                    <w:t>sociales</w:t>
                  </w:r>
                  <w:r w:rsidRPr="00453936">
                    <w:rPr>
                      <w:rFonts w:ascii="Calibri" w:hAnsi="Calibri" w:cs="Calibri"/>
                      <w:spacing w:val="-10"/>
                      <w:sz w:val="18"/>
                      <w:szCs w:val="18"/>
                      <w:lang w:val="fr-FR"/>
                    </w:rPr>
                    <w:t xml:space="preserve"> </w:t>
                  </w:r>
                  <w:r w:rsidRPr="00453936">
                    <w:rPr>
                      <w:rFonts w:ascii="Calibri" w:hAnsi="Calibri" w:cs="Calibri"/>
                      <w:sz w:val="18"/>
                      <w:szCs w:val="18"/>
                      <w:lang w:val="fr-FR"/>
                    </w:rPr>
                    <w:t>disponibles</w:t>
                  </w:r>
                  <w:r w:rsidRPr="00453936">
                    <w:rPr>
                      <w:rFonts w:ascii="Calibri" w:hAnsi="Calibri" w:cs="Calibri"/>
                      <w:spacing w:val="-45"/>
                      <w:sz w:val="18"/>
                      <w:szCs w:val="18"/>
                      <w:lang w:val="fr-FR"/>
                    </w:rPr>
                    <w:t xml:space="preserve"> </w:t>
                  </w:r>
                  <w:r w:rsidRPr="00453936">
                    <w:rPr>
                      <w:rFonts w:ascii="Calibri" w:hAnsi="Calibri" w:cs="Calibri"/>
                      <w:sz w:val="18"/>
                      <w:szCs w:val="18"/>
                      <w:lang w:val="fr-FR"/>
                    </w:rPr>
                    <w:t>pour</w:t>
                  </w:r>
                  <w:r w:rsidRPr="00453936">
                    <w:rPr>
                      <w:rFonts w:ascii="Calibri" w:hAnsi="Calibri" w:cs="Calibri"/>
                      <w:spacing w:val="-9"/>
                      <w:sz w:val="18"/>
                      <w:szCs w:val="18"/>
                      <w:lang w:val="fr-FR"/>
                    </w:rPr>
                    <w:t xml:space="preserve"> </w:t>
                  </w:r>
                  <w:r w:rsidRPr="00453936">
                    <w:rPr>
                      <w:rFonts w:ascii="Calibri" w:hAnsi="Calibri" w:cs="Calibri"/>
                      <w:sz w:val="18"/>
                      <w:szCs w:val="18"/>
                      <w:lang w:val="fr-FR"/>
                    </w:rPr>
                    <w:t>la</w:t>
                  </w:r>
                  <w:r w:rsidRPr="00453936">
                    <w:rPr>
                      <w:rFonts w:ascii="Calibri" w:hAnsi="Calibri" w:cs="Calibri"/>
                      <w:spacing w:val="-8"/>
                      <w:sz w:val="18"/>
                      <w:szCs w:val="18"/>
                      <w:lang w:val="fr-FR"/>
                    </w:rPr>
                    <w:t xml:space="preserve"> </w:t>
                  </w:r>
                  <w:r w:rsidRPr="00453936">
                    <w:rPr>
                      <w:rFonts w:ascii="Calibri" w:hAnsi="Calibri" w:cs="Calibri"/>
                      <w:sz w:val="18"/>
                      <w:szCs w:val="18"/>
                      <w:lang w:val="fr-FR"/>
                    </w:rPr>
                    <w:t>revue</w:t>
                  </w:r>
                  <w:r w:rsidRPr="00453936">
                    <w:rPr>
                      <w:rFonts w:ascii="Calibri" w:hAnsi="Calibri" w:cs="Calibri"/>
                      <w:spacing w:val="-8"/>
                      <w:sz w:val="18"/>
                      <w:szCs w:val="18"/>
                      <w:lang w:val="fr-FR"/>
                    </w:rPr>
                    <w:t xml:space="preserve"> </w:t>
                  </w:r>
                  <w:r w:rsidRPr="00453936">
                    <w:rPr>
                      <w:rFonts w:ascii="Calibri" w:hAnsi="Calibri" w:cs="Calibri"/>
                      <w:sz w:val="18"/>
                      <w:szCs w:val="18"/>
                      <w:lang w:val="fr-FR"/>
                    </w:rPr>
                    <w:t>du</w:t>
                  </w:r>
                  <w:r w:rsidRPr="00453936">
                    <w:rPr>
                      <w:rFonts w:ascii="Calibri" w:hAnsi="Calibri" w:cs="Calibri"/>
                      <w:spacing w:val="-4"/>
                      <w:sz w:val="18"/>
                      <w:szCs w:val="18"/>
                      <w:lang w:val="fr-FR"/>
                    </w:rPr>
                    <w:t xml:space="preserve"> </w:t>
                  </w:r>
                  <w:r w:rsidRPr="00453936">
                    <w:rPr>
                      <w:rFonts w:ascii="Calibri" w:hAnsi="Calibri" w:cs="Calibri"/>
                      <w:sz w:val="18"/>
                      <w:szCs w:val="18"/>
                      <w:lang w:val="fr-FR"/>
                    </w:rPr>
                    <w:t>plan</w:t>
                  </w:r>
                  <w:r w:rsidRPr="00453936">
                    <w:rPr>
                      <w:rFonts w:ascii="Calibri" w:hAnsi="Calibri" w:cs="Calibri"/>
                      <w:spacing w:val="-8"/>
                      <w:sz w:val="18"/>
                      <w:szCs w:val="18"/>
                      <w:lang w:val="fr-FR"/>
                    </w:rPr>
                    <w:t xml:space="preserve"> </w:t>
                  </w:r>
                  <w:r w:rsidRPr="00453936">
                    <w:rPr>
                      <w:rFonts w:ascii="Calibri" w:hAnsi="Calibri" w:cs="Calibri"/>
                      <w:sz w:val="18"/>
                      <w:szCs w:val="18"/>
                      <w:lang w:val="fr-FR"/>
                    </w:rPr>
                    <w:t>national</w:t>
                  </w:r>
                  <w:r w:rsidRPr="00453936">
                    <w:rPr>
                      <w:rFonts w:ascii="Calibri" w:hAnsi="Calibri" w:cs="Calibri"/>
                      <w:spacing w:val="-9"/>
                      <w:sz w:val="18"/>
                      <w:szCs w:val="18"/>
                      <w:lang w:val="fr-FR"/>
                    </w:rPr>
                    <w:t xml:space="preserve"> </w:t>
                  </w:r>
                  <w:r w:rsidRPr="00453936">
                    <w:rPr>
                      <w:rFonts w:ascii="Calibri" w:hAnsi="Calibri" w:cs="Calibri"/>
                      <w:sz w:val="18"/>
                      <w:szCs w:val="18"/>
                      <w:lang w:val="fr-FR"/>
                    </w:rPr>
                    <w:t>stratégique</w:t>
                  </w:r>
                  <w:r w:rsidRPr="00453936">
                    <w:rPr>
                      <w:rFonts w:ascii="Calibri" w:hAnsi="Calibri" w:cs="Calibri"/>
                      <w:spacing w:val="-45"/>
                      <w:sz w:val="18"/>
                      <w:szCs w:val="18"/>
                      <w:lang w:val="fr-FR"/>
                    </w:rPr>
                    <w:t xml:space="preserve"> </w:t>
                  </w:r>
                  <w:r w:rsidRPr="00453936">
                    <w:rPr>
                      <w:rFonts w:ascii="Calibri" w:hAnsi="Calibri" w:cs="Calibri"/>
                      <w:sz w:val="18"/>
                      <w:szCs w:val="18"/>
                      <w:lang w:val="fr-FR"/>
                    </w:rPr>
                    <w:t>de</w:t>
                  </w:r>
                  <w:r w:rsidRPr="00453936">
                    <w:rPr>
                      <w:rFonts w:ascii="Calibri" w:hAnsi="Calibri" w:cs="Calibri"/>
                      <w:spacing w:val="-3"/>
                      <w:sz w:val="18"/>
                      <w:szCs w:val="18"/>
                      <w:lang w:val="fr-FR"/>
                    </w:rPr>
                    <w:t xml:space="preserve"> </w:t>
                  </w:r>
                  <w:r w:rsidRPr="00453936">
                    <w:rPr>
                      <w:rFonts w:ascii="Calibri" w:hAnsi="Calibri" w:cs="Calibri"/>
                      <w:sz w:val="18"/>
                      <w:szCs w:val="18"/>
                      <w:lang w:val="fr-FR"/>
                    </w:rPr>
                    <w:t>communication</w:t>
                  </w:r>
                  <w:r w:rsidRPr="00453936">
                    <w:rPr>
                      <w:rFonts w:ascii="Calibri" w:hAnsi="Calibri" w:cs="Calibri"/>
                      <w:spacing w:val="-3"/>
                      <w:sz w:val="18"/>
                      <w:szCs w:val="18"/>
                      <w:lang w:val="fr-FR"/>
                    </w:rPr>
                    <w:t xml:space="preserve"> </w:t>
                  </w:r>
                  <w:r w:rsidRPr="00453936">
                    <w:rPr>
                      <w:rFonts w:ascii="Calibri" w:hAnsi="Calibri" w:cs="Calibri"/>
                      <w:sz w:val="18"/>
                      <w:szCs w:val="18"/>
                      <w:lang w:val="fr-FR"/>
                    </w:rPr>
                    <w:t>du</w:t>
                  </w:r>
                  <w:r w:rsidRPr="00453936">
                    <w:rPr>
                      <w:rFonts w:ascii="Calibri" w:hAnsi="Calibri" w:cs="Calibri"/>
                      <w:spacing w:val="-1"/>
                      <w:sz w:val="18"/>
                      <w:szCs w:val="18"/>
                      <w:lang w:val="fr-FR"/>
                    </w:rPr>
                    <w:t xml:space="preserve"> </w:t>
                  </w:r>
                  <w:r w:rsidRPr="00453936">
                    <w:rPr>
                      <w:rFonts w:ascii="Calibri" w:hAnsi="Calibri" w:cs="Calibri"/>
                      <w:sz w:val="18"/>
                      <w:szCs w:val="18"/>
                      <w:lang w:val="fr-FR"/>
                    </w:rPr>
                    <w:t>PEV.</w:t>
                  </w:r>
                </w:p>
              </w:tc>
              <w:tc>
                <w:tcPr>
                  <w:tcW w:w="4162" w:type="dxa"/>
                  <w:tcBorders>
                    <w:top w:val="single" w:sz="8" w:space="0" w:color="6D6D6D"/>
                    <w:left w:val="single" w:sz="8" w:space="0" w:color="6D6D6D"/>
                    <w:bottom w:val="single" w:sz="8" w:space="0" w:color="6D6D6D"/>
                    <w:right w:val="single" w:sz="8" w:space="0" w:color="6D6D6D"/>
                  </w:tcBorders>
                  <w:shd w:val="clear" w:color="auto" w:fill="auto"/>
                </w:tcPr>
                <w:p w14:paraId="38AF202B" w14:textId="77777777" w:rsidR="000030A4" w:rsidRPr="00453936" w:rsidRDefault="000030A4" w:rsidP="00F1675B">
                  <w:pPr>
                    <w:widowControl w:val="0"/>
                    <w:numPr>
                      <w:ilvl w:val="0"/>
                      <w:numId w:val="28"/>
                    </w:numPr>
                    <w:tabs>
                      <w:tab w:val="left" w:pos="256"/>
                    </w:tabs>
                    <w:autoSpaceDE w:val="0"/>
                    <w:autoSpaceDN w:val="0"/>
                    <w:spacing w:before="123" w:line="240" w:lineRule="auto"/>
                    <w:ind w:right="89"/>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TDR</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atelier élaboration</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du</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plan</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stratégique de communication du PEV de</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routine</w:t>
                  </w:r>
                  <w:r w:rsidRPr="00453936">
                    <w:rPr>
                      <w:rFonts w:ascii="Calibri" w:eastAsia="Arial MT" w:hAnsi="Calibri" w:cs="Calibri"/>
                      <w:color w:val="auto"/>
                      <w:spacing w:val="-1"/>
                      <w:sz w:val="18"/>
                      <w:szCs w:val="18"/>
                      <w:lang w:val="fr-FR"/>
                    </w:rPr>
                    <w:t xml:space="preserve"> </w:t>
                  </w:r>
                  <w:r w:rsidRPr="00453936">
                    <w:rPr>
                      <w:rFonts w:ascii="Calibri" w:eastAsia="Arial MT" w:hAnsi="Calibri" w:cs="Calibri"/>
                      <w:color w:val="auto"/>
                      <w:sz w:val="18"/>
                      <w:szCs w:val="18"/>
                      <w:lang w:val="fr-FR"/>
                    </w:rPr>
                    <w:t>2024-2025</w:t>
                  </w:r>
                </w:p>
                <w:p w14:paraId="3171E1B8" w14:textId="77777777" w:rsidR="000030A4" w:rsidRPr="00453936" w:rsidRDefault="000030A4" w:rsidP="00F1675B">
                  <w:pPr>
                    <w:widowControl w:val="0"/>
                    <w:numPr>
                      <w:ilvl w:val="0"/>
                      <w:numId w:val="28"/>
                    </w:numPr>
                    <w:tabs>
                      <w:tab w:val="left" w:pos="256"/>
                    </w:tabs>
                    <w:autoSpaceDE w:val="0"/>
                    <w:autoSpaceDN w:val="0"/>
                    <w:spacing w:line="240" w:lineRule="auto"/>
                    <w:ind w:right="86"/>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Plan Stratégique de Communication PEV 2024 – 2024</w:t>
                  </w:r>
                </w:p>
                <w:p w14:paraId="78ED3059" w14:textId="77777777" w:rsidR="000030A4" w:rsidRPr="00453936" w:rsidRDefault="000030A4" w:rsidP="00F1675B">
                  <w:pPr>
                    <w:widowControl w:val="0"/>
                    <w:numPr>
                      <w:ilvl w:val="0"/>
                      <w:numId w:val="28"/>
                    </w:numPr>
                    <w:tabs>
                      <w:tab w:val="left" w:pos="256"/>
                    </w:tabs>
                    <w:autoSpaceDE w:val="0"/>
                    <w:autoSpaceDN w:val="0"/>
                    <w:spacing w:line="240" w:lineRule="auto"/>
                    <w:ind w:right="86"/>
                    <w:jc w:val="both"/>
                    <w:rPr>
                      <w:rFonts w:ascii="Calibri" w:eastAsia="Arial MT" w:hAnsi="Calibri" w:cs="Calibri"/>
                      <w:color w:val="auto"/>
                      <w:sz w:val="18"/>
                      <w:szCs w:val="18"/>
                      <w:lang w:val="fr-FR"/>
                    </w:rPr>
                  </w:pPr>
                  <w:r w:rsidRPr="00453936">
                    <w:rPr>
                      <w:rFonts w:ascii="Calibri" w:eastAsia="Arial MT" w:hAnsi="Calibri" w:cs="Calibri"/>
                      <w:color w:val="auto"/>
                      <w:sz w:val="18"/>
                      <w:szCs w:val="18"/>
                      <w:lang w:val="fr-FR"/>
                    </w:rPr>
                    <w:t>Rapport final des activités</w:t>
                  </w:r>
                </w:p>
              </w:tc>
              <w:tc>
                <w:tcPr>
                  <w:tcW w:w="2048" w:type="dxa"/>
                  <w:tcBorders>
                    <w:top w:val="single" w:sz="8" w:space="0" w:color="6D6D6D"/>
                    <w:left w:val="single" w:sz="8" w:space="0" w:color="6D6D6D"/>
                    <w:bottom w:val="single" w:sz="8" w:space="0" w:color="6D6D6D"/>
                    <w:right w:val="single" w:sz="8" w:space="0" w:color="6D6D6D"/>
                  </w:tcBorders>
                  <w:shd w:val="clear" w:color="auto" w:fill="auto"/>
                </w:tcPr>
                <w:p w14:paraId="3E64C4BD" w14:textId="77777777" w:rsidR="000030A4" w:rsidRPr="00453936" w:rsidRDefault="000030A4" w:rsidP="00F1675B">
                  <w:pPr>
                    <w:spacing w:before="60" w:after="60" w:line="240" w:lineRule="auto"/>
                    <w:rPr>
                      <w:rFonts w:ascii="Calibri" w:eastAsia="Arial Unicode MS" w:hAnsi="Calibri" w:cs="Calibri"/>
                      <w:color w:val="auto"/>
                      <w:lang w:val="fr-FR"/>
                    </w:rPr>
                  </w:pPr>
                  <w:r w:rsidRPr="00453936">
                    <w:rPr>
                      <w:rFonts w:ascii="Calibri" w:eastAsia="Arial Unicode MS" w:hAnsi="Calibri" w:cs="Calibri"/>
                      <w:color w:val="auto"/>
                      <w:lang w:val="fr-FR"/>
                    </w:rPr>
                    <w:t>16 Nov. 2024</w:t>
                  </w:r>
                </w:p>
              </w:tc>
            </w:tr>
          </w:tbl>
          <w:p w14:paraId="78C5C227" w14:textId="4FE85948" w:rsidR="004F3A34" w:rsidRPr="004F3A34" w:rsidRDefault="004F3A34" w:rsidP="004F3A34">
            <w:pPr>
              <w:jc w:val="both"/>
              <w:rPr>
                <w:lang w:val="fr-FR"/>
              </w:rPr>
            </w:pPr>
          </w:p>
        </w:tc>
      </w:tr>
    </w:tbl>
    <w:p w14:paraId="0E24A3B3" w14:textId="6F1ACB11" w:rsidR="007613B3" w:rsidRDefault="007613B3" w:rsidP="007542EC">
      <w:pPr>
        <w:rPr>
          <w:rFonts w:ascii="Calibri" w:hAnsi="Calibri" w:cs="Calibri"/>
          <w:b/>
          <w:bCs/>
          <w:sz w:val="24"/>
          <w:szCs w:val="24"/>
          <w:u w:val="single"/>
        </w:rPr>
      </w:pPr>
    </w:p>
    <w:tbl>
      <w:tblPr>
        <w:tblpPr w:leftFromText="180" w:rightFromText="180" w:vertAnchor="page" w:horzAnchor="margin" w:tblpY="156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580"/>
        <w:gridCol w:w="1890"/>
        <w:gridCol w:w="3393"/>
        <w:gridCol w:w="351"/>
      </w:tblGrid>
      <w:tr w:rsidR="00625EFA" w:rsidRPr="007613B3" w14:paraId="3725F32D"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19F0D95A" w14:textId="77777777" w:rsidR="00625EFA" w:rsidRPr="007613B3" w:rsidRDefault="00625EFA" w:rsidP="00215013">
            <w:pPr>
              <w:spacing w:before="60" w:after="60" w:line="240" w:lineRule="auto"/>
              <w:rPr>
                <w:rFonts w:ascii="Calibri" w:eastAsia="Arial Unicode MS" w:hAnsi="Calibri" w:cs="Calibri"/>
                <w:b/>
                <w:color w:val="auto"/>
                <w:lang w:val="en-AU"/>
              </w:rPr>
            </w:pPr>
            <w:bookmarkStart w:id="0" w:name="_Hlk527733739"/>
            <w:r w:rsidRPr="007613B3">
              <w:rPr>
                <w:rFonts w:ascii="Calibri" w:eastAsia="Arial Unicode MS" w:hAnsi="Calibri" w:cs="Calibri"/>
                <w:b/>
                <w:color w:val="auto"/>
                <w:lang w:val="en-AU"/>
              </w:rPr>
              <w:t>Estimated Consultancy fee</w:t>
            </w:r>
          </w:p>
        </w:tc>
        <w:tc>
          <w:tcPr>
            <w:tcW w:w="18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7CF1BF3" w14:textId="77777777" w:rsidR="00625EFA" w:rsidRPr="007613B3" w:rsidRDefault="00625EFA" w:rsidP="00215013">
            <w:pPr>
              <w:ind w:left="12" w:hanging="12"/>
              <w:rPr>
                <w:rFonts w:ascii="Calibri" w:eastAsia="Arial Unicode MS" w:hAnsi="Calibri" w:cs="Calibri"/>
                <w:b/>
                <w:color w:val="auto"/>
                <w:lang w:val="en-AU"/>
              </w:rPr>
            </w:pPr>
            <w:r>
              <w:rPr>
                <w:rFonts w:ascii="Calibri" w:eastAsia="Arial Unicode MS" w:hAnsi="Calibri" w:cs="Calibri"/>
                <w:b/>
                <w:color w:val="auto"/>
                <w:lang w:val="en-AU"/>
              </w:rPr>
              <w:t>Quantities</w:t>
            </w:r>
          </w:p>
        </w:tc>
      </w:tr>
      <w:tr w:rsidR="00625EFA" w:rsidRPr="007613B3" w14:paraId="1AA30A49" w14:textId="77777777" w:rsidTr="00215013">
        <w:trPr>
          <w:gridAfter w:val="2"/>
          <w:wAfter w:w="3744" w:type="dxa"/>
          <w:trHeight w:val="430"/>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45EEDBAA" w14:textId="77777777" w:rsidR="00625EFA" w:rsidRPr="007613B3" w:rsidRDefault="00625EFA" w:rsidP="00215013">
            <w:pPr>
              <w:spacing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1890" w:type="dxa"/>
            <w:tcBorders>
              <w:top w:val="single" w:sz="8" w:space="0" w:color="6D6D6D"/>
              <w:left w:val="single" w:sz="8" w:space="0" w:color="6D6D6D"/>
              <w:bottom w:val="single" w:sz="8" w:space="0" w:color="6D6D6D"/>
              <w:right w:val="single" w:sz="8" w:space="0" w:color="6D6D6D"/>
            </w:tcBorders>
            <w:shd w:val="clear" w:color="auto" w:fill="auto"/>
          </w:tcPr>
          <w:p w14:paraId="776DEC2F" w14:textId="3D3ADFC6" w:rsidR="00625EFA" w:rsidRPr="007613B3" w:rsidRDefault="00625EFA" w:rsidP="00215013">
            <w:pPr>
              <w:ind w:left="12" w:hanging="12"/>
              <w:rPr>
                <w:rFonts w:ascii="Calibri" w:eastAsia="Arial Unicode MS" w:hAnsi="Calibri" w:cs="Calibri"/>
                <w:color w:val="auto"/>
                <w:lang w:val="en-AU"/>
              </w:rPr>
            </w:pPr>
            <w:r>
              <w:rPr>
                <w:rFonts w:ascii="Calibri" w:eastAsia="Arial Unicode MS" w:hAnsi="Calibri" w:cs="Calibri"/>
                <w:color w:val="auto"/>
                <w:lang w:val="en-AU"/>
              </w:rPr>
              <w:t>1</w:t>
            </w:r>
          </w:p>
        </w:tc>
      </w:tr>
      <w:tr w:rsidR="00625EFA" w:rsidRPr="00EB17EC" w14:paraId="190E8E61"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7BCE5FC4" w14:textId="77777777" w:rsidR="00625EFA" w:rsidRDefault="00625EFA" w:rsidP="0021501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p w14:paraId="373CECD2" w14:textId="77777777" w:rsidR="00625EFA" w:rsidRPr="00EB17EC" w:rsidRDefault="00625EFA" w:rsidP="00215013">
            <w:pPr>
              <w:spacing w:before="60" w:after="60" w:line="240" w:lineRule="auto"/>
              <w:rPr>
                <w:rFonts w:ascii="Calibri" w:eastAsia="Arial Unicode MS" w:hAnsi="Calibri" w:cs="Calibri"/>
                <w:color w:val="auto"/>
                <w:lang w:val="fr-FR"/>
              </w:rPr>
            </w:pPr>
            <w:r w:rsidRPr="00EB17EC">
              <w:rPr>
                <w:rFonts w:ascii="Calibri" w:eastAsia="Arial Unicode MS" w:hAnsi="Calibri" w:cs="Calibri"/>
                <w:color w:val="auto"/>
                <w:lang w:val="fr-FR"/>
              </w:rPr>
              <w:t xml:space="preserve">Location de véhicule en régions pour collecte des données, </w:t>
            </w:r>
            <w:r>
              <w:rPr>
                <w:rFonts w:ascii="Calibri" w:eastAsia="Arial Unicode MS" w:hAnsi="Calibri" w:cs="Calibri"/>
                <w:color w:val="auto"/>
                <w:lang w:val="fr-FR"/>
              </w:rPr>
              <w:t>dialogue communautaire</w:t>
            </w:r>
            <w:r w:rsidRPr="00EB17EC">
              <w:rPr>
                <w:rFonts w:ascii="Calibri" w:eastAsia="Arial Unicode MS" w:hAnsi="Calibri" w:cs="Calibri"/>
                <w:color w:val="auto"/>
                <w:lang w:val="fr-FR"/>
              </w:rPr>
              <w:t>s, plaidoyer</w:t>
            </w:r>
          </w:p>
        </w:tc>
        <w:tc>
          <w:tcPr>
            <w:tcW w:w="1890" w:type="dxa"/>
            <w:tcBorders>
              <w:top w:val="single" w:sz="8" w:space="0" w:color="6D6D6D"/>
              <w:left w:val="single" w:sz="8" w:space="0" w:color="6D6D6D"/>
              <w:bottom w:val="single" w:sz="8" w:space="0" w:color="6D6D6D"/>
              <w:right w:val="single" w:sz="8" w:space="0" w:color="6D6D6D"/>
            </w:tcBorders>
            <w:shd w:val="clear" w:color="auto" w:fill="auto"/>
          </w:tcPr>
          <w:p w14:paraId="37560FA1" w14:textId="77777777" w:rsidR="00625EFA" w:rsidRPr="00EB17EC" w:rsidRDefault="00625EFA" w:rsidP="00215013">
            <w:pPr>
              <w:ind w:left="12" w:hanging="12"/>
              <w:rPr>
                <w:rFonts w:ascii="Calibri" w:eastAsia="Arial Unicode MS" w:hAnsi="Calibri" w:cs="Calibri"/>
                <w:color w:val="auto"/>
                <w:lang w:val="fr-FR"/>
              </w:rPr>
            </w:pPr>
            <w:r>
              <w:rPr>
                <w:rFonts w:ascii="Calibri" w:eastAsia="Arial Unicode MS" w:hAnsi="Calibri" w:cs="Calibri"/>
                <w:color w:val="auto"/>
                <w:lang w:val="fr-FR"/>
              </w:rPr>
              <w:t>15</w:t>
            </w:r>
          </w:p>
        </w:tc>
      </w:tr>
      <w:tr w:rsidR="00625EFA" w:rsidRPr="007613B3" w14:paraId="6F36B60A"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5E78D1E3" w14:textId="4C1CE41C" w:rsidR="00625EFA" w:rsidRPr="00F1675B" w:rsidRDefault="00625EFA" w:rsidP="00215013">
            <w:pPr>
              <w:spacing w:before="60" w:after="60" w:line="240" w:lineRule="auto"/>
              <w:rPr>
                <w:rFonts w:ascii="Calibri" w:eastAsia="Arial Unicode MS" w:hAnsi="Calibri" w:cs="Calibri"/>
                <w:color w:val="auto"/>
              </w:rPr>
            </w:pPr>
            <w:r w:rsidRPr="00F1675B">
              <w:rPr>
                <w:rFonts w:ascii="Calibri" w:eastAsia="Arial Unicode MS" w:hAnsi="Calibri" w:cs="Calibri"/>
                <w:color w:val="auto"/>
              </w:rPr>
              <w:t xml:space="preserve">DSA (if applicable) Lumpsum </w:t>
            </w:r>
            <w:r>
              <w:rPr>
                <w:rFonts w:ascii="Calibri" w:eastAsia="Arial Unicode MS" w:hAnsi="Calibri" w:cs="Calibri"/>
                <w:color w:val="auto"/>
              </w:rPr>
              <w:t>(</w:t>
            </w:r>
            <w:r w:rsidRPr="00F1675B">
              <w:rPr>
                <w:rFonts w:ascii="Calibri" w:eastAsia="Arial Unicode MS" w:hAnsi="Calibri" w:cs="Calibri"/>
                <w:color w:val="auto"/>
              </w:rPr>
              <w:t>month</w:t>
            </w:r>
            <w:r>
              <w:rPr>
                <w:rFonts w:ascii="Calibri" w:eastAsia="Arial Unicode MS" w:hAnsi="Calibri" w:cs="Calibri"/>
                <w:color w:val="auto"/>
              </w:rPr>
              <w:t>ly rate)</w:t>
            </w:r>
          </w:p>
        </w:tc>
        <w:tc>
          <w:tcPr>
            <w:tcW w:w="1890" w:type="dxa"/>
            <w:tcBorders>
              <w:top w:val="single" w:sz="8" w:space="0" w:color="6D6D6D"/>
              <w:left w:val="single" w:sz="8" w:space="0" w:color="6D6D6D"/>
              <w:bottom w:val="single" w:sz="8" w:space="0" w:color="6D6D6D"/>
              <w:right w:val="single" w:sz="8" w:space="0" w:color="6D6D6D"/>
            </w:tcBorders>
            <w:shd w:val="clear" w:color="auto" w:fill="auto"/>
          </w:tcPr>
          <w:p w14:paraId="5C18E993" w14:textId="77777777" w:rsidR="00625EFA" w:rsidRPr="007613B3" w:rsidRDefault="00625EFA" w:rsidP="00215013">
            <w:pPr>
              <w:ind w:left="12" w:hanging="12"/>
              <w:rPr>
                <w:rFonts w:ascii="Calibri" w:eastAsia="Arial Unicode MS" w:hAnsi="Calibri" w:cs="Calibri"/>
                <w:color w:val="auto"/>
                <w:lang w:val="en-AU"/>
              </w:rPr>
            </w:pPr>
            <w:r>
              <w:rPr>
                <w:rFonts w:ascii="Calibri" w:eastAsia="Arial Unicode MS" w:hAnsi="Calibri" w:cs="Calibri"/>
                <w:color w:val="auto"/>
                <w:lang w:val="en-AU"/>
              </w:rPr>
              <w:t>5</w:t>
            </w:r>
          </w:p>
        </w:tc>
      </w:tr>
      <w:tr w:rsidR="00625EFA" w:rsidRPr="007613B3" w14:paraId="5B316701"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20F28C74" w14:textId="77777777" w:rsidR="00625EFA" w:rsidRPr="007613B3" w:rsidRDefault="00625EFA" w:rsidP="0021501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Honoraires (monthly rate)</w:t>
            </w:r>
          </w:p>
        </w:tc>
        <w:tc>
          <w:tcPr>
            <w:tcW w:w="1890" w:type="dxa"/>
            <w:tcBorders>
              <w:top w:val="single" w:sz="8" w:space="0" w:color="6D6D6D"/>
              <w:left w:val="single" w:sz="8" w:space="0" w:color="6D6D6D"/>
              <w:bottom w:val="single" w:sz="8" w:space="0" w:color="6D6D6D"/>
              <w:right w:val="single" w:sz="8" w:space="0" w:color="6D6D6D"/>
            </w:tcBorders>
            <w:shd w:val="clear" w:color="auto" w:fill="auto"/>
          </w:tcPr>
          <w:p w14:paraId="14030A7F" w14:textId="77777777" w:rsidR="00625EFA" w:rsidRDefault="00625EFA" w:rsidP="00215013">
            <w:pPr>
              <w:ind w:left="12" w:hanging="12"/>
              <w:rPr>
                <w:rFonts w:ascii="Calibri" w:eastAsia="Arial Unicode MS" w:hAnsi="Calibri" w:cs="Calibri"/>
                <w:color w:val="auto"/>
                <w:lang w:val="en-AU"/>
              </w:rPr>
            </w:pPr>
            <w:r>
              <w:rPr>
                <w:rFonts w:ascii="Calibri" w:eastAsia="Arial Unicode MS" w:hAnsi="Calibri" w:cs="Calibri"/>
                <w:color w:val="auto"/>
                <w:lang w:val="en-AU"/>
              </w:rPr>
              <w:t>5</w:t>
            </w:r>
          </w:p>
        </w:tc>
      </w:tr>
      <w:tr w:rsidR="00625EFA" w:rsidRPr="007613B3" w14:paraId="3A2A0DAC"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11497133" w14:textId="77777777" w:rsidR="00625EFA" w:rsidRPr="007613B3" w:rsidRDefault="00625EFA" w:rsidP="0021501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Communication (monthly)</w:t>
            </w:r>
          </w:p>
        </w:tc>
        <w:tc>
          <w:tcPr>
            <w:tcW w:w="1890" w:type="dxa"/>
            <w:tcBorders>
              <w:top w:val="single" w:sz="8" w:space="0" w:color="6D6D6D"/>
              <w:left w:val="single" w:sz="8" w:space="0" w:color="6D6D6D"/>
              <w:bottom w:val="single" w:sz="8" w:space="0" w:color="6D6D6D"/>
              <w:right w:val="single" w:sz="8" w:space="0" w:color="6D6D6D"/>
            </w:tcBorders>
            <w:shd w:val="clear" w:color="auto" w:fill="auto"/>
          </w:tcPr>
          <w:p w14:paraId="49887137" w14:textId="77777777" w:rsidR="00625EFA" w:rsidRPr="007613B3" w:rsidRDefault="00625EFA" w:rsidP="00215013">
            <w:pPr>
              <w:ind w:left="12" w:hanging="12"/>
              <w:rPr>
                <w:rFonts w:ascii="Calibri" w:eastAsia="Arial Unicode MS" w:hAnsi="Calibri" w:cs="Calibri"/>
                <w:color w:val="auto"/>
                <w:lang w:val="en-AU"/>
              </w:rPr>
            </w:pPr>
            <w:r>
              <w:rPr>
                <w:rFonts w:ascii="Calibri" w:eastAsia="Arial Unicode MS" w:hAnsi="Calibri" w:cs="Calibri"/>
                <w:color w:val="auto"/>
                <w:lang w:val="en-AU"/>
              </w:rPr>
              <w:t>5</w:t>
            </w:r>
          </w:p>
        </w:tc>
      </w:tr>
      <w:tr w:rsidR="00625EFA" w:rsidRPr="007613B3" w14:paraId="6FD0DCFD" w14:textId="77777777" w:rsidTr="00215013">
        <w:trPr>
          <w:gridAfter w:val="2"/>
          <w:wAfter w:w="3744" w:type="dxa"/>
          <w:trHeight w:val="406"/>
        </w:trPr>
        <w:tc>
          <w:tcPr>
            <w:tcW w:w="45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7A5B4CA8" w14:textId="77777777" w:rsidR="00625EFA" w:rsidRPr="0054592E" w:rsidRDefault="00625EFA" w:rsidP="00215013">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1890" w:type="dxa"/>
            <w:tcBorders>
              <w:top w:val="single" w:sz="8" w:space="0" w:color="6D6D6D"/>
              <w:left w:val="single" w:sz="8" w:space="0" w:color="6D6D6D"/>
              <w:bottom w:val="single" w:sz="4" w:space="0" w:color="auto"/>
              <w:right w:val="single" w:sz="8" w:space="0" w:color="6D6D6D"/>
            </w:tcBorders>
            <w:shd w:val="clear" w:color="auto" w:fill="F2F2F2" w:themeFill="background1" w:themeFillShade="F2"/>
          </w:tcPr>
          <w:p w14:paraId="1B98CCAF" w14:textId="77777777" w:rsidR="00625EFA" w:rsidRPr="007613B3" w:rsidRDefault="00625EFA" w:rsidP="00215013">
            <w:pPr>
              <w:ind w:left="12" w:hanging="12"/>
              <w:rPr>
                <w:rFonts w:ascii="Calibri" w:eastAsia="Arial Unicode MS" w:hAnsi="Calibri" w:cs="Calibri"/>
                <w:color w:val="auto"/>
                <w:lang w:val="en-AU"/>
              </w:rPr>
            </w:pPr>
          </w:p>
        </w:tc>
      </w:tr>
      <w:bookmarkEnd w:id="0"/>
      <w:tr w:rsidR="00215013" w:rsidRPr="007613B3" w14:paraId="31D582E1" w14:textId="77777777" w:rsidTr="00215013">
        <w:trPr>
          <w:gridAfter w:val="1"/>
          <w:wAfter w:w="351" w:type="dxa"/>
          <w:trHeight w:val="401"/>
        </w:trPr>
        <w:tc>
          <w:tcPr>
            <w:tcW w:w="4580" w:type="dxa"/>
            <w:tcBorders>
              <w:top w:val="single" w:sz="4" w:space="0" w:color="auto"/>
              <w:left w:val="single" w:sz="4" w:space="0" w:color="auto"/>
              <w:bottom w:val="nil"/>
              <w:right w:val="single" w:sz="4" w:space="0" w:color="auto"/>
            </w:tcBorders>
            <w:shd w:val="clear" w:color="auto" w:fill="auto"/>
            <w:noWrap/>
            <w:hideMark/>
          </w:tcPr>
          <w:p w14:paraId="3ABABFEF" w14:textId="77777777" w:rsidR="00215013" w:rsidRPr="007613B3" w:rsidRDefault="00215013" w:rsidP="00215013">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283" w:type="dxa"/>
            <w:gridSpan w:val="2"/>
            <w:tcBorders>
              <w:top w:val="single" w:sz="4" w:space="0" w:color="auto"/>
              <w:left w:val="single" w:sz="4" w:space="0" w:color="auto"/>
              <w:bottom w:val="nil"/>
              <w:right w:val="single" w:sz="4" w:space="0" w:color="auto"/>
            </w:tcBorders>
            <w:shd w:val="clear" w:color="auto" w:fill="auto"/>
            <w:noWrap/>
            <w:hideMark/>
          </w:tcPr>
          <w:p w14:paraId="29620E90" w14:textId="77777777" w:rsidR="00215013" w:rsidRPr="007613B3" w:rsidRDefault="00215013" w:rsidP="00215013">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215013" w:rsidRPr="000030A4" w14:paraId="79378663" w14:textId="77777777" w:rsidTr="00215013">
        <w:trPr>
          <w:gridAfter w:val="1"/>
          <w:wAfter w:w="351" w:type="dxa"/>
          <w:trHeight w:val="66"/>
        </w:trPr>
        <w:tc>
          <w:tcPr>
            <w:tcW w:w="4580" w:type="dxa"/>
            <w:tcBorders>
              <w:top w:val="nil"/>
              <w:left w:val="single" w:sz="4" w:space="0" w:color="auto"/>
              <w:bottom w:val="nil"/>
              <w:right w:val="single" w:sz="4" w:space="0" w:color="auto"/>
            </w:tcBorders>
            <w:shd w:val="clear" w:color="auto" w:fill="auto"/>
            <w:noWrap/>
          </w:tcPr>
          <w:p w14:paraId="670AC009" w14:textId="77777777" w:rsidR="00215013" w:rsidRPr="007613B3" w:rsidRDefault="00215013" w:rsidP="0021501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C4652">
              <w:rPr>
                <w:rFonts w:ascii="Calibri" w:eastAsia="Arial Unicode MS" w:hAnsi="Calibri" w:cs="Calibri"/>
                <w:color w:val="auto"/>
                <w:lang w:val="en-AU"/>
              </w:rPr>
            </w:r>
            <w:r w:rsidR="00EC465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1" w:name="Check7"/>
            <w:r>
              <w:rPr>
                <w:rFonts w:ascii="Calibri" w:eastAsia="Arial Unicode MS" w:hAnsi="Calibri" w:cs="Calibri"/>
                <w:color w:val="auto"/>
                <w:lang w:val="en-AU"/>
              </w:rPr>
              <w:instrText xml:space="preserve"> FORMCHECKBOX </w:instrText>
            </w:r>
            <w:r w:rsidR="00EC4652">
              <w:rPr>
                <w:rFonts w:ascii="Calibri" w:eastAsia="Arial Unicode MS" w:hAnsi="Calibri" w:cs="Calibri"/>
                <w:color w:val="auto"/>
                <w:lang w:val="en-AU"/>
              </w:rPr>
            </w:r>
            <w:r w:rsidR="00EC465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C4652">
              <w:rPr>
                <w:rFonts w:ascii="Calibri" w:eastAsia="Arial Unicode MS" w:hAnsi="Calibri" w:cs="Calibri"/>
                <w:color w:val="auto"/>
                <w:lang w:val="en-AU"/>
              </w:rPr>
            </w:r>
            <w:r w:rsidR="00EC465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C4652">
              <w:rPr>
                <w:rFonts w:ascii="Calibri" w:eastAsia="Arial Unicode MS" w:hAnsi="Calibri" w:cs="Calibri"/>
                <w:color w:val="auto"/>
                <w:lang w:val="en-AU"/>
              </w:rPr>
            </w:r>
            <w:r w:rsidR="00EC4652">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2276125B" w14:textId="77777777" w:rsidR="00215013" w:rsidRPr="007613B3" w:rsidRDefault="00215013" w:rsidP="00215013">
            <w:pPr>
              <w:spacing w:before="60" w:line="240" w:lineRule="auto"/>
              <w:rPr>
                <w:rFonts w:ascii="Calibri" w:eastAsia="Arial Unicode MS" w:hAnsi="Calibri" w:cs="Calibri"/>
                <w:color w:val="auto"/>
                <w:lang w:val="en-AU"/>
              </w:rPr>
            </w:pPr>
          </w:p>
          <w:p w14:paraId="26AAF4EB" w14:textId="77777777" w:rsidR="00215013" w:rsidRPr="007613B3" w:rsidRDefault="00215013" w:rsidP="0021501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Pr>
                <w:rFonts w:ascii="Calibri" w:eastAsia="Arial Unicode MS" w:hAnsi="Calibri" w:cs="Calibri"/>
                <w:color w:val="auto"/>
                <w:lang w:val="en-AU"/>
              </w:rPr>
              <w:t>:</w:t>
            </w:r>
          </w:p>
        </w:tc>
        <w:tc>
          <w:tcPr>
            <w:tcW w:w="5283" w:type="dxa"/>
            <w:gridSpan w:val="2"/>
            <w:vMerge w:val="restart"/>
            <w:tcBorders>
              <w:top w:val="nil"/>
              <w:left w:val="single" w:sz="4" w:space="0" w:color="auto"/>
              <w:right w:val="single" w:sz="4" w:space="0" w:color="auto"/>
            </w:tcBorders>
            <w:shd w:val="clear" w:color="auto" w:fill="auto"/>
            <w:noWrap/>
          </w:tcPr>
          <w:p w14:paraId="07829645" w14:textId="77777777" w:rsidR="00215013" w:rsidRDefault="00215013" w:rsidP="00215013">
            <w:pPr>
              <w:pStyle w:val="ListParagraph"/>
              <w:numPr>
                <w:ilvl w:val="0"/>
                <w:numId w:val="29"/>
              </w:numPr>
              <w:ind w:left="360"/>
              <w:rPr>
                <w:rFonts w:asciiTheme="minorHAnsi" w:hAnsiTheme="minorHAnsi" w:cstheme="minorHAnsi"/>
                <w:lang w:val="fr-FR"/>
              </w:rPr>
            </w:pPr>
            <w:r w:rsidRPr="00567090">
              <w:rPr>
                <w:rFonts w:asciiTheme="minorHAnsi" w:hAnsiTheme="minorHAnsi" w:cstheme="minorHAnsi"/>
                <w:lang w:val="fr-FR"/>
              </w:rPr>
              <w:t>Au moins 05 ans d'expérience professionnelle dans changement social comportemental en lien avec le programme élargi de vaccination. Une expérience de travail avec UNICEF ou autres agences des nations unies et/ou et une expérience du travail dans un contexte d'urgence ;</w:t>
            </w:r>
          </w:p>
          <w:p w14:paraId="37CB7FB4" w14:textId="77777777" w:rsidR="00215013" w:rsidRDefault="00215013" w:rsidP="00215013">
            <w:pPr>
              <w:pStyle w:val="ListParagraph"/>
              <w:numPr>
                <w:ilvl w:val="0"/>
                <w:numId w:val="29"/>
              </w:numPr>
              <w:ind w:left="360"/>
              <w:rPr>
                <w:rFonts w:asciiTheme="minorHAnsi" w:hAnsiTheme="minorHAnsi" w:cstheme="minorHAnsi"/>
                <w:lang w:val="fr-FR"/>
              </w:rPr>
            </w:pPr>
            <w:r w:rsidRPr="00E376A9">
              <w:rPr>
                <w:rFonts w:asciiTheme="minorHAnsi" w:hAnsiTheme="minorHAnsi" w:cstheme="minorHAnsi"/>
                <w:lang w:val="fr-FR"/>
              </w:rPr>
              <w:t>Expérience dans l’introduction de nouveaux vaccins, le renforcement des capacités des partenaires, partenaires la gestion des rumeurs et désinformation seraient un atout ;</w:t>
            </w:r>
          </w:p>
          <w:p w14:paraId="14EEDD6E" w14:textId="77777777" w:rsidR="00215013" w:rsidRDefault="00215013" w:rsidP="00215013">
            <w:pPr>
              <w:pStyle w:val="ListParagraph"/>
              <w:numPr>
                <w:ilvl w:val="0"/>
                <w:numId w:val="29"/>
              </w:numPr>
              <w:ind w:left="360"/>
              <w:rPr>
                <w:rFonts w:asciiTheme="minorHAnsi" w:hAnsiTheme="minorHAnsi" w:cstheme="minorHAnsi"/>
                <w:lang w:val="fr-FR"/>
              </w:rPr>
            </w:pPr>
            <w:r w:rsidRPr="00E376A9">
              <w:rPr>
                <w:rFonts w:asciiTheme="minorHAnsi" w:hAnsiTheme="minorHAnsi" w:cstheme="minorHAnsi"/>
                <w:lang w:val="fr-FR"/>
              </w:rPr>
              <w:t>Bonne compréhension des déterminants sociaux et comportementaux de la vaccination, la planification stratégique en SBC, l'analyse du comportement, recherche formative et de l'évaluation ;</w:t>
            </w:r>
          </w:p>
          <w:p w14:paraId="2AB191EA" w14:textId="77777777" w:rsidR="00215013" w:rsidRPr="00E376A9" w:rsidRDefault="00215013" w:rsidP="00215013">
            <w:pPr>
              <w:pStyle w:val="ListParagraph"/>
              <w:numPr>
                <w:ilvl w:val="0"/>
                <w:numId w:val="29"/>
              </w:numPr>
              <w:ind w:left="360"/>
              <w:rPr>
                <w:rFonts w:asciiTheme="minorHAnsi" w:hAnsiTheme="minorHAnsi" w:cstheme="minorHAnsi"/>
                <w:lang w:val="fr-FR"/>
              </w:rPr>
            </w:pPr>
            <w:r w:rsidRPr="00E376A9">
              <w:rPr>
                <w:rFonts w:asciiTheme="minorHAnsi" w:hAnsiTheme="minorHAnsi" w:cstheme="minorHAnsi"/>
                <w:lang w:val="fr-FR"/>
              </w:rPr>
              <w:t xml:space="preserve">Flexibilité pour répondre aux besoins du ministère de la santé et de l’UNICEF. </w:t>
            </w:r>
          </w:p>
        </w:tc>
      </w:tr>
      <w:tr w:rsidR="00215013" w:rsidRPr="000030A4" w14:paraId="764D9B76" w14:textId="77777777" w:rsidTr="00215013">
        <w:trPr>
          <w:gridAfter w:val="1"/>
          <w:wAfter w:w="351" w:type="dxa"/>
          <w:trHeight w:val="153"/>
        </w:trPr>
        <w:tc>
          <w:tcPr>
            <w:tcW w:w="4580" w:type="dxa"/>
            <w:tcBorders>
              <w:top w:val="nil"/>
              <w:right w:val="single" w:sz="4" w:space="0" w:color="auto"/>
            </w:tcBorders>
            <w:shd w:val="clear" w:color="auto" w:fill="auto"/>
            <w:noWrap/>
          </w:tcPr>
          <w:p w14:paraId="622B6FA3" w14:textId="77777777" w:rsidR="00215013" w:rsidRPr="00FE24B8" w:rsidRDefault="00215013" w:rsidP="00215013">
            <w:pPr>
              <w:spacing w:before="60" w:line="240" w:lineRule="auto"/>
              <w:rPr>
                <w:rFonts w:asciiTheme="minorHAnsi" w:hAnsiTheme="minorHAnsi" w:cstheme="minorHAnsi"/>
                <w:lang w:val="fr-FR" w:eastAsia="fr-FR"/>
              </w:rPr>
            </w:pPr>
            <w:r w:rsidRPr="006826AC">
              <w:rPr>
                <w:rFonts w:asciiTheme="minorHAnsi" w:hAnsiTheme="minorHAnsi" w:cstheme="minorHAnsi"/>
                <w:lang w:val="fr-FR" w:eastAsia="fr-FR"/>
              </w:rPr>
              <w:t xml:space="preserve">Diplôme universitaire supérieur en santé publique, en sciences comportementales et/ou sociales (anthropologie, sociologie, psychologie, développement social, etc.) / Communication pour le développement/ </w:t>
            </w:r>
            <w:r>
              <w:rPr>
                <w:rFonts w:asciiTheme="minorHAnsi" w:hAnsiTheme="minorHAnsi" w:cstheme="minorHAnsi"/>
                <w:lang w:val="fr-FR" w:eastAsia="fr-FR"/>
              </w:rPr>
              <w:t>promotion de</w:t>
            </w:r>
            <w:r w:rsidRPr="006826AC">
              <w:rPr>
                <w:rFonts w:asciiTheme="minorHAnsi" w:hAnsiTheme="minorHAnsi" w:cstheme="minorHAnsi"/>
                <w:lang w:val="fr-FR" w:eastAsia="fr-FR"/>
              </w:rPr>
              <w:t xml:space="preserve"> la santé ou autre domaine connexe.</w:t>
            </w:r>
          </w:p>
        </w:tc>
        <w:tc>
          <w:tcPr>
            <w:tcW w:w="5283" w:type="dxa"/>
            <w:gridSpan w:val="2"/>
            <w:vMerge/>
            <w:tcBorders>
              <w:left w:val="single" w:sz="4" w:space="0" w:color="auto"/>
              <w:right w:val="single" w:sz="4" w:space="0" w:color="auto"/>
            </w:tcBorders>
            <w:shd w:val="clear" w:color="auto" w:fill="auto"/>
            <w:noWrap/>
          </w:tcPr>
          <w:p w14:paraId="37669ACE" w14:textId="77777777" w:rsidR="00215013" w:rsidRPr="00E376A9" w:rsidRDefault="00215013" w:rsidP="00215013">
            <w:pPr>
              <w:rPr>
                <w:rFonts w:ascii="Calibri" w:hAnsi="Calibri" w:cs="Calibri"/>
                <w:color w:val="FF0000"/>
                <w:lang w:val="fr-FR"/>
              </w:rPr>
            </w:pPr>
          </w:p>
        </w:tc>
      </w:tr>
      <w:tr w:rsidR="00215013" w:rsidRPr="007613B3" w14:paraId="64B137D8" w14:textId="77777777" w:rsidTr="00215013">
        <w:trPr>
          <w:trHeight w:val="144"/>
        </w:trPr>
        <w:tc>
          <w:tcPr>
            <w:tcW w:w="10214" w:type="dxa"/>
            <w:gridSpan w:val="4"/>
            <w:tcBorders>
              <w:top w:val="nil"/>
              <w:left w:val="nil"/>
              <w:bottom w:val="nil"/>
              <w:right w:val="nil"/>
            </w:tcBorders>
            <w:shd w:val="clear" w:color="auto" w:fill="auto"/>
            <w:noWrap/>
            <w:hideMark/>
          </w:tcPr>
          <w:p w14:paraId="22990DC0" w14:textId="77777777" w:rsidR="00215013" w:rsidRPr="007613B3" w:rsidRDefault="00215013" w:rsidP="00215013">
            <w:pPr>
              <w:spacing w:line="240" w:lineRule="auto"/>
              <w:ind w:left="342" w:hanging="342"/>
              <w:rPr>
                <w:rFonts w:ascii="Calibri" w:eastAsia="Arial Unicode MS" w:hAnsi="Calibri" w:cs="Calibri"/>
                <w:color w:val="auto"/>
                <w:sz w:val="16"/>
                <w:szCs w:val="16"/>
                <w:lang w:val="en-AU"/>
              </w:rPr>
            </w:pPr>
          </w:p>
        </w:tc>
      </w:tr>
      <w:tr w:rsidR="00215013" w:rsidRPr="007613B3" w14:paraId="520A05F1" w14:textId="77777777" w:rsidTr="00215013">
        <w:trPr>
          <w:trHeight w:val="391"/>
        </w:trPr>
        <w:tc>
          <w:tcPr>
            <w:tcW w:w="10214" w:type="dxa"/>
            <w:gridSpan w:val="4"/>
            <w:tcBorders>
              <w:top w:val="nil"/>
              <w:left w:val="nil"/>
              <w:bottom w:val="nil"/>
              <w:right w:val="nil"/>
            </w:tcBorders>
            <w:shd w:val="clear" w:color="auto" w:fill="auto"/>
            <w:noWrap/>
          </w:tcPr>
          <w:p w14:paraId="7DB8430A" w14:textId="77777777" w:rsidR="00215013" w:rsidRDefault="00215013" w:rsidP="00215013">
            <w:pPr>
              <w:spacing w:line="240" w:lineRule="auto"/>
              <w:rPr>
                <w:rFonts w:ascii="Calibri" w:eastAsia="Arial Unicode MS" w:hAnsi="Calibri" w:cs="Calibri"/>
                <w:color w:val="auto"/>
                <w:sz w:val="16"/>
                <w:szCs w:val="16"/>
                <w:lang w:val="en-AU"/>
              </w:rPr>
            </w:pPr>
          </w:p>
          <w:p w14:paraId="20F0D437" w14:textId="77777777" w:rsidR="00215013" w:rsidRPr="007613B3" w:rsidRDefault="00215013" w:rsidP="00215013">
            <w:pPr>
              <w:spacing w:line="240" w:lineRule="auto"/>
              <w:ind w:left="342" w:hanging="342"/>
              <w:rPr>
                <w:rFonts w:ascii="Calibri" w:eastAsia="Arial Unicode MS" w:hAnsi="Calibri" w:cs="Calibri"/>
                <w:color w:val="auto"/>
                <w:sz w:val="16"/>
                <w:szCs w:val="16"/>
                <w:lang w:val="en-AU"/>
              </w:rPr>
            </w:pPr>
          </w:p>
        </w:tc>
      </w:tr>
    </w:tbl>
    <w:p w14:paraId="6F0E78F2" w14:textId="77777777" w:rsidR="005C2922" w:rsidRPr="005C2922" w:rsidRDefault="005C2922" w:rsidP="00EE6DB4">
      <w:pPr>
        <w:rPr>
          <w:rFonts w:ascii="Calibri" w:hAnsi="Calibri" w:cs="Calibri"/>
          <w:b/>
          <w:bCs/>
          <w:sz w:val="24"/>
          <w:szCs w:val="24"/>
          <w:u w:val="single"/>
        </w:rPr>
      </w:pPr>
    </w:p>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24664A6A" w:rsidR="5DD2836A" w:rsidRDefault="5DD2836A" w:rsidP="5DD2836A">
      <w:pPr>
        <w:spacing w:after="160" w:line="259" w:lineRule="auto"/>
        <w:rPr>
          <w:rFonts w:eastAsia="Arial" w:cs="Arial"/>
          <w:color w:val="000000" w:themeColor="text1"/>
        </w:rPr>
      </w:pPr>
      <w:r w:rsidRPr="61E6A259">
        <w:rPr>
          <w:rFonts w:eastAsia="Arial" w:cs="Arial"/>
          <w:color w:val="000000" w:themeColor="text1"/>
        </w:rPr>
        <w:t xml:space="preserve">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w:t>
      </w:r>
      <w:r w:rsidRPr="61E6A259">
        <w:rPr>
          <w:rFonts w:eastAsia="Arial" w:cs="Arial"/>
          <w:color w:val="000000" w:themeColor="text1"/>
        </w:rPr>
        <w:lastRenderedPageBreak/>
        <w:t>Services of Consultants. Consultants are responsible for determining their tax liabilities and for the payment of any taxes and/or duties, in accordance with local or other applicable laws.</w:t>
      </w:r>
    </w:p>
    <w:p w14:paraId="6D31FA02" w14:textId="4DA8BAC9" w:rsidR="5DD2836A" w:rsidRDefault="5DD2836A" w:rsidP="61E6A259">
      <w:pPr>
        <w:spacing w:after="160" w:line="259" w:lineRule="auto"/>
        <w:rPr>
          <w:color w:val="000000" w:themeColor="text1"/>
        </w:rPr>
      </w:pPr>
      <w:r w:rsidRPr="61E6A259">
        <w:rPr>
          <w:rFonts w:eastAsia="Arial" w:cs="Arial"/>
          <w:color w:val="000000" w:themeColor="text1"/>
        </w:rPr>
        <w:t xml:space="preserve">The selected </w:t>
      </w:r>
      <w:r w:rsidR="5592C26B" w:rsidRPr="61E6A259">
        <w:rPr>
          <w:rFonts w:eastAsia="Arial" w:cs="Arial"/>
          <w:color w:val="000000" w:themeColor="text1"/>
        </w:rPr>
        <w:t>consultant</w:t>
      </w:r>
      <w:r w:rsidRPr="61E6A259">
        <w:rPr>
          <w:rFonts w:eastAsia="Arial" w:cs="Arial"/>
          <w:color w:val="000000" w:themeColor="text1"/>
        </w:rPr>
        <w:t xml:space="preserve"> is solely responsible to ensure that the visa (applicable) and health insurance required to perform the duties of the contract are valid for the entire period of the contract. Selected c</w:t>
      </w:r>
      <w:r w:rsidR="793BC3F4" w:rsidRPr="61E6A259">
        <w:rPr>
          <w:rFonts w:eastAsia="Arial" w:cs="Arial"/>
          <w:color w:val="000000" w:themeColor="text1"/>
        </w:rPr>
        <w:t>onsultant</w:t>
      </w:r>
      <w:r w:rsidRPr="61E6A259">
        <w:rPr>
          <w:rFonts w:eastAsia="Arial" w:cs="Arial"/>
          <w:color w:val="000000" w:themeColor="text1"/>
        </w:rPr>
        <w:t xml:space="preserve"> are subject to confirmation of fully-vaccinated status against SARS-CoV-2 (Covid-19) with a World Health Organization (WHO)-endorsed vaccine, which must be met prior to taking up the assignment. </w:t>
      </w:r>
      <w:r w:rsidR="101D8FB0" w:rsidRPr="61E6A259">
        <w:rPr>
          <w:rFonts w:eastAsia="Arial" w:cs="Arial"/>
          <w:color w:val="000000" w:themeColor="text1"/>
        </w:rPr>
        <w:t>The vaccine mandate, does</w:t>
      </w:r>
      <w:r w:rsidRPr="61E6A259">
        <w:rPr>
          <w:rFonts w:eastAsia="Arial" w:cs="Arial"/>
          <w:color w:val="000000" w:themeColor="text1"/>
        </w:rPr>
        <w:t xml:space="preserve">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4">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15"/>
      <w:footerReference w:type="default" r:id="rId16"/>
      <w:headerReference w:type="first" r:id="rId17"/>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60B3" w14:textId="77777777" w:rsidR="00242FDB" w:rsidRDefault="00242FDB" w:rsidP="000C3710">
      <w:r>
        <w:separator/>
      </w:r>
    </w:p>
  </w:endnote>
  <w:endnote w:type="continuationSeparator" w:id="0">
    <w:p w14:paraId="3BA71FF5" w14:textId="77777777" w:rsidR="00242FDB" w:rsidRDefault="00242FDB" w:rsidP="000C3710">
      <w:r>
        <w:continuationSeparator/>
      </w:r>
    </w:p>
  </w:endnote>
  <w:endnote w:id="1">
    <w:p w14:paraId="59265B7E" w14:textId="77777777" w:rsidR="00625EFA" w:rsidRDefault="00625EFA" w:rsidP="00215013">
      <w:pPr>
        <w:pStyle w:val="EndnoteText"/>
      </w:pPr>
    </w:p>
    <w:p w14:paraId="2F90DB66" w14:textId="77777777" w:rsidR="00625EFA" w:rsidRDefault="00625EFA" w:rsidP="00215013">
      <w:pPr>
        <w:pStyle w:val="EndnoteText"/>
      </w:pPr>
    </w:p>
    <w:p w14:paraId="633D9DBC" w14:textId="77777777" w:rsidR="00625EFA" w:rsidRDefault="00625EFA" w:rsidP="00215013">
      <w:pPr>
        <w:pStyle w:val="EndnoteText"/>
      </w:pPr>
    </w:p>
    <w:p w14:paraId="4DD932A7" w14:textId="77777777" w:rsidR="00625EFA" w:rsidRPr="00A934E9" w:rsidRDefault="00625EFA" w:rsidP="002150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82E5" w14:textId="77777777" w:rsidR="00242FDB" w:rsidRDefault="00242FDB" w:rsidP="000C3710">
      <w:r>
        <w:separator/>
      </w:r>
    </w:p>
  </w:footnote>
  <w:footnote w:type="continuationSeparator" w:id="0">
    <w:p w14:paraId="696EC0E6" w14:textId="77777777" w:rsidR="00242FDB" w:rsidRDefault="00242FDB"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50E3" w14:textId="77777777" w:rsidR="00EC4652" w:rsidRPr="00643F1C" w:rsidRDefault="00EC4652" w:rsidP="00EC4652">
    <w:pPr>
      <w:rPr>
        <w:rFonts w:ascii="Calibri" w:eastAsia="Arial Unicode MS" w:hAnsi="Calibri" w:cs="Calibri"/>
        <w:b/>
        <w:color w:val="auto"/>
        <w:lang w:val="fr-FR"/>
      </w:rPr>
    </w:pPr>
    <w:r w:rsidRPr="00643F1C">
      <w:rPr>
        <w:rFonts w:ascii="Calibri" w:eastAsia="Arial Unicode MS" w:hAnsi="Calibri" w:cs="Calibri"/>
        <w:b/>
        <w:color w:val="auto"/>
        <w:lang w:val="fr-FR"/>
      </w:rPr>
      <w:t xml:space="preserve">Consultant International SBC </w:t>
    </w:r>
    <w:r w:rsidRPr="000030A4">
      <w:rPr>
        <w:rFonts w:ascii="Calibri" w:eastAsia="Arial Unicode MS" w:hAnsi="Calibri" w:cs="Calibri"/>
        <w:bCs/>
        <w:color w:val="auto"/>
        <w:lang w:val="fr-FR"/>
      </w:rPr>
      <w:t>Immunisation</w:t>
    </w:r>
    <w:r>
      <w:rPr>
        <w:rFonts w:ascii="Calibri" w:eastAsia="Arial Unicode MS" w:hAnsi="Calibri" w:cs="Calibri"/>
        <w:b/>
        <w:color w:val="auto"/>
        <w:lang w:val="fr-FR"/>
      </w:rPr>
      <w:t xml:space="preserve"> (</w:t>
    </w:r>
    <w:r w:rsidRPr="00643F1C">
      <w:rPr>
        <w:rFonts w:ascii="Calibri" w:eastAsia="Arial Unicode MS" w:hAnsi="Calibri" w:cs="Calibri"/>
        <w:b/>
        <w:color w:val="auto"/>
        <w:lang w:val="fr-FR"/>
      </w:rPr>
      <w:t>introduction nouve</w:t>
    </w:r>
    <w:r>
      <w:rPr>
        <w:rFonts w:ascii="Calibri" w:eastAsia="Arial Unicode MS" w:hAnsi="Calibri" w:cs="Calibri"/>
        <w:b/>
        <w:color w:val="auto"/>
        <w:lang w:val="fr-FR"/>
      </w:rPr>
      <w:t>au vaccin HPV)</w:t>
    </w:r>
  </w:p>
  <w:p w14:paraId="399ABF56" w14:textId="77777777" w:rsidR="00EC4652" w:rsidRPr="00EC4652" w:rsidRDefault="00EC4652" w:rsidP="00EC465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EA3A" w14:textId="295D94A0" w:rsidR="00861563" w:rsidRDefault="000030A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7B1A5F"/>
    <w:multiLevelType w:val="hybridMultilevel"/>
    <w:tmpl w:val="CF62722C"/>
    <w:lvl w:ilvl="0" w:tplc="5E5094F6">
      <w:numFmt w:val="bullet"/>
      <w:lvlText w:val="-"/>
      <w:lvlJc w:val="left"/>
      <w:pPr>
        <w:ind w:left="448" w:hanging="257"/>
      </w:pPr>
      <w:rPr>
        <w:rFonts w:ascii="Calibri" w:eastAsia="Calibri" w:hAnsi="Calibri" w:cs="Calibri" w:hint="default"/>
        <w:w w:val="104"/>
        <w:sz w:val="18"/>
        <w:szCs w:val="18"/>
        <w:lang w:val="fr-FR" w:eastAsia="en-US" w:bidi="ar-SA"/>
      </w:rPr>
    </w:lvl>
    <w:lvl w:ilvl="1" w:tplc="354289DC">
      <w:numFmt w:val="bullet"/>
      <w:lvlText w:val="•"/>
      <w:lvlJc w:val="left"/>
      <w:pPr>
        <w:ind w:left="1284" w:hanging="257"/>
      </w:pPr>
      <w:rPr>
        <w:rFonts w:hint="default"/>
        <w:lang w:val="fr-FR" w:eastAsia="en-US" w:bidi="ar-SA"/>
      </w:rPr>
    </w:lvl>
    <w:lvl w:ilvl="2" w:tplc="3EB8640C">
      <w:numFmt w:val="bullet"/>
      <w:lvlText w:val="•"/>
      <w:lvlJc w:val="left"/>
      <w:pPr>
        <w:ind w:left="2128" w:hanging="257"/>
      </w:pPr>
      <w:rPr>
        <w:rFonts w:hint="default"/>
        <w:lang w:val="fr-FR" w:eastAsia="en-US" w:bidi="ar-SA"/>
      </w:rPr>
    </w:lvl>
    <w:lvl w:ilvl="3" w:tplc="8DA8DC04">
      <w:numFmt w:val="bullet"/>
      <w:lvlText w:val="•"/>
      <w:lvlJc w:val="left"/>
      <w:pPr>
        <w:ind w:left="2972" w:hanging="257"/>
      </w:pPr>
      <w:rPr>
        <w:rFonts w:hint="default"/>
        <w:lang w:val="fr-FR" w:eastAsia="en-US" w:bidi="ar-SA"/>
      </w:rPr>
    </w:lvl>
    <w:lvl w:ilvl="4" w:tplc="30128ABC">
      <w:numFmt w:val="bullet"/>
      <w:lvlText w:val="•"/>
      <w:lvlJc w:val="left"/>
      <w:pPr>
        <w:ind w:left="3816" w:hanging="257"/>
      </w:pPr>
      <w:rPr>
        <w:rFonts w:hint="default"/>
        <w:lang w:val="fr-FR" w:eastAsia="en-US" w:bidi="ar-SA"/>
      </w:rPr>
    </w:lvl>
    <w:lvl w:ilvl="5" w:tplc="E3AE1792">
      <w:numFmt w:val="bullet"/>
      <w:lvlText w:val="•"/>
      <w:lvlJc w:val="left"/>
      <w:pPr>
        <w:ind w:left="4660" w:hanging="257"/>
      </w:pPr>
      <w:rPr>
        <w:rFonts w:hint="default"/>
        <w:lang w:val="fr-FR" w:eastAsia="en-US" w:bidi="ar-SA"/>
      </w:rPr>
    </w:lvl>
    <w:lvl w:ilvl="6" w:tplc="AE708A52">
      <w:numFmt w:val="bullet"/>
      <w:lvlText w:val="•"/>
      <w:lvlJc w:val="left"/>
      <w:pPr>
        <w:ind w:left="5504" w:hanging="257"/>
      </w:pPr>
      <w:rPr>
        <w:rFonts w:hint="default"/>
        <w:lang w:val="fr-FR" w:eastAsia="en-US" w:bidi="ar-SA"/>
      </w:rPr>
    </w:lvl>
    <w:lvl w:ilvl="7" w:tplc="11A8B88C">
      <w:numFmt w:val="bullet"/>
      <w:lvlText w:val="•"/>
      <w:lvlJc w:val="left"/>
      <w:pPr>
        <w:ind w:left="6348" w:hanging="257"/>
      </w:pPr>
      <w:rPr>
        <w:rFonts w:hint="default"/>
        <w:lang w:val="fr-FR" w:eastAsia="en-US" w:bidi="ar-SA"/>
      </w:rPr>
    </w:lvl>
    <w:lvl w:ilvl="8" w:tplc="71A674A6">
      <w:numFmt w:val="bullet"/>
      <w:lvlText w:val="•"/>
      <w:lvlJc w:val="left"/>
      <w:pPr>
        <w:ind w:left="7192" w:hanging="257"/>
      </w:pPr>
      <w:rPr>
        <w:rFonts w:hint="default"/>
        <w:lang w:val="fr-FR" w:eastAsia="en-US" w:bidi="ar-SA"/>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F6981"/>
    <w:multiLevelType w:val="hybridMultilevel"/>
    <w:tmpl w:val="18946AC0"/>
    <w:lvl w:ilvl="0" w:tplc="09C05B6C">
      <w:start w:val="1"/>
      <w:numFmt w:val="decimal"/>
      <w:lvlText w:val="%1."/>
      <w:lvlJc w:val="left"/>
      <w:pPr>
        <w:ind w:left="870" w:hanging="340"/>
      </w:pPr>
      <w:rPr>
        <w:rFonts w:hint="default"/>
        <w:b/>
        <w:bCs/>
        <w:w w:val="104"/>
        <w:lang w:val="fr-FR" w:eastAsia="en-US" w:bidi="ar-SA"/>
      </w:rPr>
    </w:lvl>
    <w:lvl w:ilvl="1" w:tplc="B80E7BE8">
      <w:start w:val="1"/>
      <w:numFmt w:val="lowerLetter"/>
      <w:lvlText w:val="%2."/>
      <w:lvlJc w:val="left"/>
      <w:pPr>
        <w:ind w:left="871" w:hanging="341"/>
      </w:pPr>
      <w:rPr>
        <w:rFonts w:ascii="Arial" w:eastAsia="Arial" w:hAnsi="Arial" w:cs="Arial" w:hint="default"/>
        <w:b/>
        <w:bCs/>
        <w:w w:val="104"/>
        <w:sz w:val="18"/>
        <w:szCs w:val="18"/>
        <w:lang w:val="fr-FR" w:eastAsia="en-US" w:bidi="ar-SA"/>
      </w:rPr>
    </w:lvl>
    <w:lvl w:ilvl="2" w:tplc="F85EB254">
      <w:numFmt w:val="bullet"/>
      <w:lvlText w:val="•"/>
      <w:lvlJc w:val="left"/>
      <w:pPr>
        <w:ind w:left="2480" w:hanging="341"/>
      </w:pPr>
      <w:rPr>
        <w:rFonts w:hint="default"/>
        <w:lang w:val="fr-FR" w:eastAsia="en-US" w:bidi="ar-SA"/>
      </w:rPr>
    </w:lvl>
    <w:lvl w:ilvl="3" w:tplc="C6B0C47A">
      <w:numFmt w:val="bullet"/>
      <w:lvlText w:val="•"/>
      <w:lvlJc w:val="left"/>
      <w:pPr>
        <w:ind w:left="3280" w:hanging="341"/>
      </w:pPr>
      <w:rPr>
        <w:rFonts w:hint="default"/>
        <w:lang w:val="fr-FR" w:eastAsia="en-US" w:bidi="ar-SA"/>
      </w:rPr>
    </w:lvl>
    <w:lvl w:ilvl="4" w:tplc="FA52A71E">
      <w:numFmt w:val="bullet"/>
      <w:lvlText w:val="•"/>
      <w:lvlJc w:val="left"/>
      <w:pPr>
        <w:ind w:left="4080" w:hanging="341"/>
      </w:pPr>
      <w:rPr>
        <w:rFonts w:hint="default"/>
        <w:lang w:val="fr-FR" w:eastAsia="en-US" w:bidi="ar-SA"/>
      </w:rPr>
    </w:lvl>
    <w:lvl w:ilvl="5" w:tplc="DB8E98BA">
      <w:numFmt w:val="bullet"/>
      <w:lvlText w:val="•"/>
      <w:lvlJc w:val="left"/>
      <w:pPr>
        <w:ind w:left="4880" w:hanging="341"/>
      </w:pPr>
      <w:rPr>
        <w:rFonts w:hint="default"/>
        <w:lang w:val="fr-FR" w:eastAsia="en-US" w:bidi="ar-SA"/>
      </w:rPr>
    </w:lvl>
    <w:lvl w:ilvl="6" w:tplc="8E9EDE18">
      <w:numFmt w:val="bullet"/>
      <w:lvlText w:val="•"/>
      <w:lvlJc w:val="left"/>
      <w:pPr>
        <w:ind w:left="5680" w:hanging="341"/>
      </w:pPr>
      <w:rPr>
        <w:rFonts w:hint="default"/>
        <w:lang w:val="fr-FR" w:eastAsia="en-US" w:bidi="ar-SA"/>
      </w:rPr>
    </w:lvl>
    <w:lvl w:ilvl="7" w:tplc="F37676A2">
      <w:numFmt w:val="bullet"/>
      <w:lvlText w:val="•"/>
      <w:lvlJc w:val="left"/>
      <w:pPr>
        <w:ind w:left="6480" w:hanging="341"/>
      </w:pPr>
      <w:rPr>
        <w:rFonts w:hint="default"/>
        <w:lang w:val="fr-FR" w:eastAsia="en-US" w:bidi="ar-SA"/>
      </w:rPr>
    </w:lvl>
    <w:lvl w:ilvl="8" w:tplc="984869D6">
      <w:numFmt w:val="bullet"/>
      <w:lvlText w:val="•"/>
      <w:lvlJc w:val="left"/>
      <w:pPr>
        <w:ind w:left="7280" w:hanging="341"/>
      </w:pPr>
      <w:rPr>
        <w:rFonts w:hint="default"/>
        <w:lang w:val="fr-FR" w:eastAsia="en-US" w:bidi="ar-SA"/>
      </w:rPr>
    </w:lvl>
  </w:abstractNum>
  <w:abstractNum w:abstractNumId="20" w15:restartNumberingAfterBreak="0">
    <w:nsid w:val="30486DB9"/>
    <w:multiLevelType w:val="hybridMultilevel"/>
    <w:tmpl w:val="25963660"/>
    <w:lvl w:ilvl="0" w:tplc="483EF1C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27AF7"/>
    <w:multiLevelType w:val="hybridMultilevel"/>
    <w:tmpl w:val="4CEEBC94"/>
    <w:lvl w:ilvl="0" w:tplc="1EB20738">
      <w:numFmt w:val="bullet"/>
      <w:lvlText w:val="-"/>
      <w:lvlJc w:val="left"/>
      <w:pPr>
        <w:ind w:left="254" w:hanging="155"/>
      </w:pPr>
      <w:rPr>
        <w:rFonts w:ascii="Times New Roman" w:eastAsia="Times New Roman" w:hAnsi="Times New Roman" w:cs="Times New Roman" w:hint="default"/>
        <w:w w:val="99"/>
        <w:sz w:val="17"/>
        <w:szCs w:val="17"/>
        <w:lang w:val="fr-FR" w:eastAsia="en-US" w:bidi="ar-SA"/>
      </w:rPr>
    </w:lvl>
    <w:lvl w:ilvl="1" w:tplc="41524D28">
      <w:numFmt w:val="bullet"/>
      <w:lvlText w:val="•"/>
      <w:lvlJc w:val="left"/>
      <w:pPr>
        <w:ind w:left="591" w:hanging="155"/>
      </w:pPr>
      <w:rPr>
        <w:rFonts w:hint="default"/>
        <w:lang w:val="fr-FR" w:eastAsia="en-US" w:bidi="ar-SA"/>
      </w:rPr>
    </w:lvl>
    <w:lvl w:ilvl="2" w:tplc="7E3E74AE">
      <w:numFmt w:val="bullet"/>
      <w:lvlText w:val="•"/>
      <w:lvlJc w:val="left"/>
      <w:pPr>
        <w:ind w:left="922" w:hanging="155"/>
      </w:pPr>
      <w:rPr>
        <w:rFonts w:hint="default"/>
        <w:lang w:val="fr-FR" w:eastAsia="en-US" w:bidi="ar-SA"/>
      </w:rPr>
    </w:lvl>
    <w:lvl w:ilvl="3" w:tplc="D756931C">
      <w:numFmt w:val="bullet"/>
      <w:lvlText w:val="•"/>
      <w:lvlJc w:val="left"/>
      <w:pPr>
        <w:ind w:left="1253" w:hanging="155"/>
      </w:pPr>
      <w:rPr>
        <w:rFonts w:hint="default"/>
        <w:lang w:val="fr-FR" w:eastAsia="en-US" w:bidi="ar-SA"/>
      </w:rPr>
    </w:lvl>
    <w:lvl w:ilvl="4" w:tplc="38A68E96">
      <w:numFmt w:val="bullet"/>
      <w:lvlText w:val="•"/>
      <w:lvlJc w:val="left"/>
      <w:pPr>
        <w:ind w:left="1584" w:hanging="155"/>
      </w:pPr>
      <w:rPr>
        <w:rFonts w:hint="default"/>
        <w:lang w:val="fr-FR" w:eastAsia="en-US" w:bidi="ar-SA"/>
      </w:rPr>
    </w:lvl>
    <w:lvl w:ilvl="5" w:tplc="798A103E">
      <w:numFmt w:val="bullet"/>
      <w:lvlText w:val="•"/>
      <w:lvlJc w:val="left"/>
      <w:pPr>
        <w:ind w:left="1915" w:hanging="155"/>
      </w:pPr>
      <w:rPr>
        <w:rFonts w:hint="default"/>
        <w:lang w:val="fr-FR" w:eastAsia="en-US" w:bidi="ar-SA"/>
      </w:rPr>
    </w:lvl>
    <w:lvl w:ilvl="6" w:tplc="966E6492">
      <w:numFmt w:val="bullet"/>
      <w:lvlText w:val="•"/>
      <w:lvlJc w:val="left"/>
      <w:pPr>
        <w:ind w:left="2246" w:hanging="155"/>
      </w:pPr>
      <w:rPr>
        <w:rFonts w:hint="default"/>
        <w:lang w:val="fr-FR" w:eastAsia="en-US" w:bidi="ar-SA"/>
      </w:rPr>
    </w:lvl>
    <w:lvl w:ilvl="7" w:tplc="C464CB5A">
      <w:numFmt w:val="bullet"/>
      <w:lvlText w:val="•"/>
      <w:lvlJc w:val="left"/>
      <w:pPr>
        <w:ind w:left="2577" w:hanging="155"/>
      </w:pPr>
      <w:rPr>
        <w:rFonts w:hint="default"/>
        <w:lang w:val="fr-FR" w:eastAsia="en-US" w:bidi="ar-SA"/>
      </w:rPr>
    </w:lvl>
    <w:lvl w:ilvl="8" w:tplc="B0DA50C8">
      <w:numFmt w:val="bullet"/>
      <w:lvlText w:val="•"/>
      <w:lvlJc w:val="left"/>
      <w:pPr>
        <w:ind w:left="2908" w:hanging="155"/>
      </w:pPr>
      <w:rPr>
        <w:rFonts w:hint="default"/>
        <w:lang w:val="fr-FR" w:eastAsia="en-US" w:bidi="ar-SA"/>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37274"/>
    <w:multiLevelType w:val="hybridMultilevel"/>
    <w:tmpl w:val="49605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627A23"/>
    <w:multiLevelType w:val="hybridMultilevel"/>
    <w:tmpl w:val="9B6AC604"/>
    <w:lvl w:ilvl="0" w:tplc="FFFFFFFF">
      <w:start w:val="1"/>
      <w:numFmt w:val="decimal"/>
      <w:lvlText w:val="%1."/>
      <w:lvlJc w:val="left"/>
      <w:pPr>
        <w:ind w:left="870" w:hanging="340"/>
      </w:pPr>
      <w:rPr>
        <w:rFonts w:hint="default"/>
        <w:b/>
        <w:bCs/>
        <w:w w:val="104"/>
        <w:lang w:val="fr-FR" w:eastAsia="en-US" w:bidi="ar-SA"/>
      </w:rPr>
    </w:lvl>
    <w:lvl w:ilvl="1" w:tplc="FFFFFFFF">
      <w:start w:val="1"/>
      <w:numFmt w:val="lowerLetter"/>
      <w:lvlText w:val="%2."/>
      <w:lvlJc w:val="left"/>
      <w:pPr>
        <w:ind w:left="871" w:hanging="341"/>
      </w:pPr>
      <w:rPr>
        <w:rFonts w:ascii="Arial" w:eastAsia="Arial" w:hAnsi="Arial" w:cs="Arial" w:hint="default"/>
        <w:b/>
        <w:bCs/>
        <w:w w:val="104"/>
        <w:sz w:val="18"/>
        <w:szCs w:val="18"/>
        <w:lang w:val="fr-FR" w:eastAsia="en-US" w:bidi="ar-SA"/>
      </w:rPr>
    </w:lvl>
    <w:lvl w:ilvl="2" w:tplc="FFFFFFFF">
      <w:numFmt w:val="bullet"/>
      <w:lvlText w:val="•"/>
      <w:lvlJc w:val="left"/>
      <w:pPr>
        <w:ind w:left="2480" w:hanging="341"/>
      </w:pPr>
      <w:rPr>
        <w:rFonts w:hint="default"/>
        <w:lang w:val="fr-FR" w:eastAsia="en-US" w:bidi="ar-SA"/>
      </w:rPr>
    </w:lvl>
    <w:lvl w:ilvl="3" w:tplc="FFFFFFFF">
      <w:numFmt w:val="bullet"/>
      <w:lvlText w:val="•"/>
      <w:lvlJc w:val="left"/>
      <w:pPr>
        <w:ind w:left="3280" w:hanging="341"/>
      </w:pPr>
      <w:rPr>
        <w:rFonts w:hint="default"/>
        <w:lang w:val="fr-FR" w:eastAsia="en-US" w:bidi="ar-SA"/>
      </w:rPr>
    </w:lvl>
    <w:lvl w:ilvl="4" w:tplc="FFFFFFFF">
      <w:numFmt w:val="bullet"/>
      <w:lvlText w:val="•"/>
      <w:lvlJc w:val="left"/>
      <w:pPr>
        <w:ind w:left="4080" w:hanging="341"/>
      </w:pPr>
      <w:rPr>
        <w:rFonts w:hint="default"/>
        <w:lang w:val="fr-FR" w:eastAsia="en-US" w:bidi="ar-SA"/>
      </w:rPr>
    </w:lvl>
    <w:lvl w:ilvl="5" w:tplc="FFFFFFFF">
      <w:numFmt w:val="bullet"/>
      <w:lvlText w:val="•"/>
      <w:lvlJc w:val="left"/>
      <w:pPr>
        <w:ind w:left="4880" w:hanging="341"/>
      </w:pPr>
      <w:rPr>
        <w:rFonts w:hint="default"/>
        <w:lang w:val="fr-FR" w:eastAsia="en-US" w:bidi="ar-SA"/>
      </w:rPr>
    </w:lvl>
    <w:lvl w:ilvl="6" w:tplc="FFFFFFFF">
      <w:numFmt w:val="bullet"/>
      <w:lvlText w:val="•"/>
      <w:lvlJc w:val="left"/>
      <w:pPr>
        <w:ind w:left="5680" w:hanging="341"/>
      </w:pPr>
      <w:rPr>
        <w:rFonts w:hint="default"/>
        <w:lang w:val="fr-FR" w:eastAsia="en-US" w:bidi="ar-SA"/>
      </w:rPr>
    </w:lvl>
    <w:lvl w:ilvl="7" w:tplc="FFFFFFFF">
      <w:numFmt w:val="bullet"/>
      <w:lvlText w:val="•"/>
      <w:lvlJc w:val="left"/>
      <w:pPr>
        <w:ind w:left="6480" w:hanging="341"/>
      </w:pPr>
      <w:rPr>
        <w:rFonts w:hint="default"/>
        <w:lang w:val="fr-FR" w:eastAsia="en-US" w:bidi="ar-SA"/>
      </w:rPr>
    </w:lvl>
    <w:lvl w:ilvl="8" w:tplc="FFFFFFFF">
      <w:numFmt w:val="bullet"/>
      <w:lvlText w:val="•"/>
      <w:lvlJc w:val="left"/>
      <w:pPr>
        <w:ind w:left="7280" w:hanging="341"/>
      </w:pPr>
      <w:rPr>
        <w:rFonts w:hint="default"/>
        <w:lang w:val="fr-FR" w:eastAsia="en-US" w:bidi="ar-SA"/>
      </w:rPr>
    </w:lvl>
  </w:abstractNum>
  <w:num w:numId="1" w16cid:durableId="1217474153">
    <w:abstractNumId w:val="18"/>
  </w:num>
  <w:num w:numId="2" w16cid:durableId="1308898011">
    <w:abstractNumId w:val="24"/>
  </w:num>
  <w:num w:numId="3" w16cid:durableId="17901871">
    <w:abstractNumId w:val="16"/>
  </w:num>
  <w:num w:numId="4" w16cid:durableId="734011028">
    <w:abstractNumId w:val="14"/>
  </w:num>
  <w:num w:numId="5" w16cid:durableId="2125339706">
    <w:abstractNumId w:val="12"/>
  </w:num>
  <w:num w:numId="6" w16cid:durableId="1188327119">
    <w:abstractNumId w:val="17"/>
  </w:num>
  <w:num w:numId="7" w16cid:durableId="808327926">
    <w:abstractNumId w:val="26"/>
  </w:num>
  <w:num w:numId="8" w16cid:durableId="2081054000">
    <w:abstractNumId w:val="27"/>
  </w:num>
  <w:num w:numId="9" w16cid:durableId="779185526">
    <w:abstractNumId w:val="11"/>
    <w:lvlOverride w:ilvl="0">
      <w:lvl w:ilvl="0">
        <w:numFmt w:val="bullet"/>
        <w:lvlText w:val=""/>
        <w:legacy w:legacy="1" w:legacySpace="0" w:legacyIndent="0"/>
        <w:lvlJc w:val="left"/>
        <w:rPr>
          <w:rFonts w:ascii="Symbol" w:hAnsi="Symbol" w:hint="default"/>
          <w:sz w:val="22"/>
        </w:rPr>
      </w:lvl>
    </w:lvlOverride>
  </w:num>
  <w:num w:numId="10" w16cid:durableId="374551557">
    <w:abstractNumId w:val="23"/>
  </w:num>
  <w:num w:numId="11" w16cid:durableId="1641106852">
    <w:abstractNumId w:val="21"/>
  </w:num>
  <w:num w:numId="12" w16cid:durableId="1831556593">
    <w:abstractNumId w:val="28"/>
  </w:num>
  <w:num w:numId="13" w16cid:durableId="1558274969">
    <w:abstractNumId w:val="0"/>
  </w:num>
  <w:num w:numId="14" w16cid:durableId="440882818">
    <w:abstractNumId w:val="10"/>
  </w:num>
  <w:num w:numId="15" w16cid:durableId="1953856376">
    <w:abstractNumId w:val="8"/>
  </w:num>
  <w:num w:numId="16" w16cid:durableId="1744837099">
    <w:abstractNumId w:val="7"/>
  </w:num>
  <w:num w:numId="17" w16cid:durableId="1970351982">
    <w:abstractNumId w:val="6"/>
  </w:num>
  <w:num w:numId="18" w16cid:durableId="248542223">
    <w:abstractNumId w:val="5"/>
  </w:num>
  <w:num w:numId="19" w16cid:durableId="2058967278">
    <w:abstractNumId w:val="9"/>
  </w:num>
  <w:num w:numId="20" w16cid:durableId="210777271">
    <w:abstractNumId w:val="4"/>
  </w:num>
  <w:num w:numId="21" w16cid:durableId="1424183585">
    <w:abstractNumId w:val="3"/>
  </w:num>
  <w:num w:numId="22" w16cid:durableId="2041205130">
    <w:abstractNumId w:val="2"/>
  </w:num>
  <w:num w:numId="23" w16cid:durableId="1852449491">
    <w:abstractNumId w:val="1"/>
  </w:num>
  <w:num w:numId="24" w16cid:durableId="671419557">
    <w:abstractNumId w:val="15"/>
  </w:num>
  <w:num w:numId="25" w16cid:durableId="1733656223">
    <w:abstractNumId w:val="20"/>
  </w:num>
  <w:num w:numId="26" w16cid:durableId="1898197089">
    <w:abstractNumId w:val="13"/>
  </w:num>
  <w:num w:numId="27" w16cid:durableId="997074541">
    <w:abstractNumId w:val="19"/>
  </w:num>
  <w:num w:numId="28" w16cid:durableId="441728240">
    <w:abstractNumId w:val="22"/>
  </w:num>
  <w:num w:numId="29" w16cid:durableId="843320222">
    <w:abstractNumId w:val="25"/>
  </w:num>
  <w:num w:numId="30" w16cid:durableId="1886211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0A4"/>
    <w:rsid w:val="00007E4A"/>
    <w:rsid w:val="000241D1"/>
    <w:rsid w:val="00025F29"/>
    <w:rsid w:val="00030834"/>
    <w:rsid w:val="000310DE"/>
    <w:rsid w:val="000415E9"/>
    <w:rsid w:val="0004433C"/>
    <w:rsid w:val="00051966"/>
    <w:rsid w:val="00056A18"/>
    <w:rsid w:val="000576DC"/>
    <w:rsid w:val="00064448"/>
    <w:rsid w:val="00066CAF"/>
    <w:rsid w:val="00076437"/>
    <w:rsid w:val="00096574"/>
    <w:rsid w:val="000A7045"/>
    <w:rsid w:val="000B254B"/>
    <w:rsid w:val="000B5829"/>
    <w:rsid w:val="000C3710"/>
    <w:rsid w:val="000C61F2"/>
    <w:rsid w:val="000D6CA1"/>
    <w:rsid w:val="000E1755"/>
    <w:rsid w:val="000E3253"/>
    <w:rsid w:val="000E414F"/>
    <w:rsid w:val="000E4D76"/>
    <w:rsid w:val="000F6440"/>
    <w:rsid w:val="00107B7A"/>
    <w:rsid w:val="00112DEE"/>
    <w:rsid w:val="001555CD"/>
    <w:rsid w:val="0015757A"/>
    <w:rsid w:val="001637C2"/>
    <w:rsid w:val="00164C95"/>
    <w:rsid w:val="00165C9B"/>
    <w:rsid w:val="00175E9C"/>
    <w:rsid w:val="00176711"/>
    <w:rsid w:val="00182C1C"/>
    <w:rsid w:val="00183FA9"/>
    <w:rsid w:val="00186E13"/>
    <w:rsid w:val="00193BD3"/>
    <w:rsid w:val="001A4B63"/>
    <w:rsid w:val="001B190C"/>
    <w:rsid w:val="001B5D66"/>
    <w:rsid w:val="001E112E"/>
    <w:rsid w:val="001E7405"/>
    <w:rsid w:val="001F651F"/>
    <w:rsid w:val="002072D5"/>
    <w:rsid w:val="00213A86"/>
    <w:rsid w:val="00214E11"/>
    <w:rsid w:val="00215013"/>
    <w:rsid w:val="00215E5E"/>
    <w:rsid w:val="0022123C"/>
    <w:rsid w:val="00222F56"/>
    <w:rsid w:val="00234AD4"/>
    <w:rsid w:val="00242FDB"/>
    <w:rsid w:val="00244E25"/>
    <w:rsid w:val="002460BE"/>
    <w:rsid w:val="00247353"/>
    <w:rsid w:val="00257BD7"/>
    <w:rsid w:val="002659AE"/>
    <w:rsid w:val="0026644B"/>
    <w:rsid w:val="0027015A"/>
    <w:rsid w:val="00285811"/>
    <w:rsid w:val="00293255"/>
    <w:rsid w:val="002952E4"/>
    <w:rsid w:val="002B0B92"/>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2F5B12"/>
    <w:rsid w:val="00306E1E"/>
    <w:rsid w:val="003117C2"/>
    <w:rsid w:val="00313AFD"/>
    <w:rsid w:val="00320886"/>
    <w:rsid w:val="0032151B"/>
    <w:rsid w:val="00332D2A"/>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250A"/>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46F4F"/>
    <w:rsid w:val="00453936"/>
    <w:rsid w:val="00472BBD"/>
    <w:rsid w:val="004809D8"/>
    <w:rsid w:val="00481D11"/>
    <w:rsid w:val="004A64C8"/>
    <w:rsid w:val="004A6CA6"/>
    <w:rsid w:val="004B276A"/>
    <w:rsid w:val="004C2C7B"/>
    <w:rsid w:val="004D08C1"/>
    <w:rsid w:val="004D2245"/>
    <w:rsid w:val="004D5D35"/>
    <w:rsid w:val="004E2D0B"/>
    <w:rsid w:val="004E67BE"/>
    <w:rsid w:val="004F1A27"/>
    <w:rsid w:val="004F3A34"/>
    <w:rsid w:val="005032F9"/>
    <w:rsid w:val="005075C6"/>
    <w:rsid w:val="00511A6E"/>
    <w:rsid w:val="00523923"/>
    <w:rsid w:val="005246DC"/>
    <w:rsid w:val="005356FF"/>
    <w:rsid w:val="00544027"/>
    <w:rsid w:val="00544A89"/>
    <w:rsid w:val="0054592E"/>
    <w:rsid w:val="005472E4"/>
    <w:rsid w:val="00555615"/>
    <w:rsid w:val="00591246"/>
    <w:rsid w:val="0059671E"/>
    <w:rsid w:val="005A643C"/>
    <w:rsid w:val="005B3739"/>
    <w:rsid w:val="005C103A"/>
    <w:rsid w:val="005C2922"/>
    <w:rsid w:val="005D0BBF"/>
    <w:rsid w:val="005E629A"/>
    <w:rsid w:val="005E6FE1"/>
    <w:rsid w:val="005F3AFC"/>
    <w:rsid w:val="006007DA"/>
    <w:rsid w:val="006227CC"/>
    <w:rsid w:val="00622ED3"/>
    <w:rsid w:val="00625EFA"/>
    <w:rsid w:val="00626681"/>
    <w:rsid w:val="00632D59"/>
    <w:rsid w:val="00641AEF"/>
    <w:rsid w:val="00643F1C"/>
    <w:rsid w:val="00653E0C"/>
    <w:rsid w:val="006579B7"/>
    <w:rsid w:val="00661BE1"/>
    <w:rsid w:val="006642C4"/>
    <w:rsid w:val="0066692F"/>
    <w:rsid w:val="00674FCB"/>
    <w:rsid w:val="006826AC"/>
    <w:rsid w:val="0068655C"/>
    <w:rsid w:val="006907A6"/>
    <w:rsid w:val="006921D1"/>
    <w:rsid w:val="006968C1"/>
    <w:rsid w:val="006A5CFB"/>
    <w:rsid w:val="006B4298"/>
    <w:rsid w:val="006B7F68"/>
    <w:rsid w:val="006C269F"/>
    <w:rsid w:val="006C47DD"/>
    <w:rsid w:val="006C5703"/>
    <w:rsid w:val="006C688F"/>
    <w:rsid w:val="006C7D5A"/>
    <w:rsid w:val="006D1BD7"/>
    <w:rsid w:val="006D6C69"/>
    <w:rsid w:val="006E3839"/>
    <w:rsid w:val="006F3357"/>
    <w:rsid w:val="007001DA"/>
    <w:rsid w:val="0070263C"/>
    <w:rsid w:val="00711C06"/>
    <w:rsid w:val="0071297F"/>
    <w:rsid w:val="007142C7"/>
    <w:rsid w:val="00745587"/>
    <w:rsid w:val="00746FD9"/>
    <w:rsid w:val="00751237"/>
    <w:rsid w:val="007542EC"/>
    <w:rsid w:val="0075490C"/>
    <w:rsid w:val="00756755"/>
    <w:rsid w:val="007613B3"/>
    <w:rsid w:val="0076718A"/>
    <w:rsid w:val="00774438"/>
    <w:rsid w:val="0077559E"/>
    <w:rsid w:val="007826F8"/>
    <w:rsid w:val="007A22B9"/>
    <w:rsid w:val="007B6BF8"/>
    <w:rsid w:val="007C7F78"/>
    <w:rsid w:val="007D5968"/>
    <w:rsid w:val="007D7750"/>
    <w:rsid w:val="007E73F5"/>
    <w:rsid w:val="00801C3E"/>
    <w:rsid w:val="00802DB2"/>
    <w:rsid w:val="00803267"/>
    <w:rsid w:val="0080603F"/>
    <w:rsid w:val="00806AF3"/>
    <w:rsid w:val="00812FFA"/>
    <w:rsid w:val="00813D3A"/>
    <w:rsid w:val="0084284B"/>
    <w:rsid w:val="00842E07"/>
    <w:rsid w:val="00845125"/>
    <w:rsid w:val="00861563"/>
    <w:rsid w:val="008655EA"/>
    <w:rsid w:val="00872992"/>
    <w:rsid w:val="00873C12"/>
    <w:rsid w:val="00883D70"/>
    <w:rsid w:val="00884F21"/>
    <w:rsid w:val="00884F6C"/>
    <w:rsid w:val="00896383"/>
    <w:rsid w:val="008A2A60"/>
    <w:rsid w:val="008B0A0B"/>
    <w:rsid w:val="008B3BDE"/>
    <w:rsid w:val="008C5761"/>
    <w:rsid w:val="008C7B05"/>
    <w:rsid w:val="008D6959"/>
    <w:rsid w:val="008D79DD"/>
    <w:rsid w:val="008E375E"/>
    <w:rsid w:val="0090065A"/>
    <w:rsid w:val="00900912"/>
    <w:rsid w:val="00903E9D"/>
    <w:rsid w:val="00905953"/>
    <w:rsid w:val="00906E2A"/>
    <w:rsid w:val="009109A5"/>
    <w:rsid w:val="0091382D"/>
    <w:rsid w:val="009203FF"/>
    <w:rsid w:val="00922852"/>
    <w:rsid w:val="009247BD"/>
    <w:rsid w:val="00943D66"/>
    <w:rsid w:val="009512AC"/>
    <w:rsid w:val="0095309F"/>
    <w:rsid w:val="00960715"/>
    <w:rsid w:val="0096249B"/>
    <w:rsid w:val="00962F0B"/>
    <w:rsid w:val="009637FF"/>
    <w:rsid w:val="00963C52"/>
    <w:rsid w:val="009657AF"/>
    <w:rsid w:val="00970EBD"/>
    <w:rsid w:val="00975550"/>
    <w:rsid w:val="0098715F"/>
    <w:rsid w:val="009A11FE"/>
    <w:rsid w:val="009A1C63"/>
    <w:rsid w:val="009B3C84"/>
    <w:rsid w:val="009B6BAC"/>
    <w:rsid w:val="009D5ED5"/>
    <w:rsid w:val="009E758D"/>
    <w:rsid w:val="009F36B8"/>
    <w:rsid w:val="00A0375D"/>
    <w:rsid w:val="00A11FA1"/>
    <w:rsid w:val="00A15D12"/>
    <w:rsid w:val="00A24FA9"/>
    <w:rsid w:val="00A3477D"/>
    <w:rsid w:val="00A56EC7"/>
    <w:rsid w:val="00A71AB3"/>
    <w:rsid w:val="00A73543"/>
    <w:rsid w:val="00A7722C"/>
    <w:rsid w:val="00A80C16"/>
    <w:rsid w:val="00A8354D"/>
    <w:rsid w:val="00A934E9"/>
    <w:rsid w:val="00A94248"/>
    <w:rsid w:val="00AC083A"/>
    <w:rsid w:val="00AC78AC"/>
    <w:rsid w:val="00AE48C4"/>
    <w:rsid w:val="00AE74FB"/>
    <w:rsid w:val="00AF077A"/>
    <w:rsid w:val="00AF3B0E"/>
    <w:rsid w:val="00AF6FE2"/>
    <w:rsid w:val="00B02636"/>
    <w:rsid w:val="00B05ABF"/>
    <w:rsid w:val="00B14BE6"/>
    <w:rsid w:val="00B22FF0"/>
    <w:rsid w:val="00B25923"/>
    <w:rsid w:val="00B35723"/>
    <w:rsid w:val="00B37562"/>
    <w:rsid w:val="00B4127F"/>
    <w:rsid w:val="00B415E7"/>
    <w:rsid w:val="00B52C4D"/>
    <w:rsid w:val="00B63E76"/>
    <w:rsid w:val="00B66698"/>
    <w:rsid w:val="00B677D8"/>
    <w:rsid w:val="00B814B7"/>
    <w:rsid w:val="00B84938"/>
    <w:rsid w:val="00B96CAE"/>
    <w:rsid w:val="00BB1006"/>
    <w:rsid w:val="00BB4A6F"/>
    <w:rsid w:val="00BB7CA1"/>
    <w:rsid w:val="00BC0092"/>
    <w:rsid w:val="00BC06E9"/>
    <w:rsid w:val="00BE4C8A"/>
    <w:rsid w:val="00BF605F"/>
    <w:rsid w:val="00C046B2"/>
    <w:rsid w:val="00C1551F"/>
    <w:rsid w:val="00C25DC0"/>
    <w:rsid w:val="00C34C2B"/>
    <w:rsid w:val="00C401E7"/>
    <w:rsid w:val="00C427CA"/>
    <w:rsid w:val="00C448ED"/>
    <w:rsid w:val="00C62EFB"/>
    <w:rsid w:val="00C67879"/>
    <w:rsid w:val="00C711EC"/>
    <w:rsid w:val="00C756A2"/>
    <w:rsid w:val="00C77B32"/>
    <w:rsid w:val="00C92726"/>
    <w:rsid w:val="00C972F8"/>
    <w:rsid w:val="00CB3A47"/>
    <w:rsid w:val="00CD3149"/>
    <w:rsid w:val="00CD3E5C"/>
    <w:rsid w:val="00CE46A7"/>
    <w:rsid w:val="00CE769B"/>
    <w:rsid w:val="00D03797"/>
    <w:rsid w:val="00D042EF"/>
    <w:rsid w:val="00D05933"/>
    <w:rsid w:val="00D24E21"/>
    <w:rsid w:val="00D26336"/>
    <w:rsid w:val="00D3303B"/>
    <w:rsid w:val="00D35998"/>
    <w:rsid w:val="00D36214"/>
    <w:rsid w:val="00D460BE"/>
    <w:rsid w:val="00D505DE"/>
    <w:rsid w:val="00D5258E"/>
    <w:rsid w:val="00D541BC"/>
    <w:rsid w:val="00D61A9A"/>
    <w:rsid w:val="00D64897"/>
    <w:rsid w:val="00D67207"/>
    <w:rsid w:val="00D675C4"/>
    <w:rsid w:val="00D72E5E"/>
    <w:rsid w:val="00D84097"/>
    <w:rsid w:val="00D86D91"/>
    <w:rsid w:val="00D92AE1"/>
    <w:rsid w:val="00DE40E3"/>
    <w:rsid w:val="00E00B53"/>
    <w:rsid w:val="00E0283F"/>
    <w:rsid w:val="00E05E8C"/>
    <w:rsid w:val="00E108D4"/>
    <w:rsid w:val="00E13740"/>
    <w:rsid w:val="00E14789"/>
    <w:rsid w:val="00E2153C"/>
    <w:rsid w:val="00E24709"/>
    <w:rsid w:val="00E376A9"/>
    <w:rsid w:val="00E42815"/>
    <w:rsid w:val="00E5163F"/>
    <w:rsid w:val="00E54A5D"/>
    <w:rsid w:val="00E55B2F"/>
    <w:rsid w:val="00E612AA"/>
    <w:rsid w:val="00E61D56"/>
    <w:rsid w:val="00E630F3"/>
    <w:rsid w:val="00E654DC"/>
    <w:rsid w:val="00E82A93"/>
    <w:rsid w:val="00EA6D4D"/>
    <w:rsid w:val="00EB17EC"/>
    <w:rsid w:val="00EB76A6"/>
    <w:rsid w:val="00EC4652"/>
    <w:rsid w:val="00EC5E3A"/>
    <w:rsid w:val="00EE3A60"/>
    <w:rsid w:val="00EE6DB4"/>
    <w:rsid w:val="00EE7747"/>
    <w:rsid w:val="00EF5A83"/>
    <w:rsid w:val="00F027D0"/>
    <w:rsid w:val="00F13F95"/>
    <w:rsid w:val="00F1675B"/>
    <w:rsid w:val="00F219DD"/>
    <w:rsid w:val="00F2296D"/>
    <w:rsid w:val="00F2300E"/>
    <w:rsid w:val="00F24528"/>
    <w:rsid w:val="00F246C3"/>
    <w:rsid w:val="00F31886"/>
    <w:rsid w:val="00F349B0"/>
    <w:rsid w:val="00F35E74"/>
    <w:rsid w:val="00F43D84"/>
    <w:rsid w:val="00F509A4"/>
    <w:rsid w:val="00F50C59"/>
    <w:rsid w:val="00F7484C"/>
    <w:rsid w:val="00F834BF"/>
    <w:rsid w:val="00F8439C"/>
    <w:rsid w:val="00F90618"/>
    <w:rsid w:val="00F97B64"/>
    <w:rsid w:val="00FA55CB"/>
    <w:rsid w:val="00FB6F21"/>
    <w:rsid w:val="00FC1ABD"/>
    <w:rsid w:val="00FE1530"/>
    <w:rsid w:val="00FE24B8"/>
    <w:rsid w:val="00FE3848"/>
    <w:rsid w:val="00FE46C7"/>
    <w:rsid w:val="00FF713E"/>
    <w:rsid w:val="034DD3C2"/>
    <w:rsid w:val="0690BFCA"/>
    <w:rsid w:val="09CD7EEA"/>
    <w:rsid w:val="0B4782DD"/>
    <w:rsid w:val="0F8C0EEF"/>
    <w:rsid w:val="101D8FB0"/>
    <w:rsid w:val="1127DF50"/>
    <w:rsid w:val="12297930"/>
    <w:rsid w:val="1947B79B"/>
    <w:rsid w:val="19DA93D8"/>
    <w:rsid w:val="1B7BDC0E"/>
    <w:rsid w:val="1D622199"/>
    <w:rsid w:val="1E3B21BA"/>
    <w:rsid w:val="1E8229D2"/>
    <w:rsid w:val="207D6461"/>
    <w:rsid w:val="2843E464"/>
    <w:rsid w:val="29628587"/>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A93545D"/>
    <w:rsid w:val="4B9691E3"/>
    <w:rsid w:val="53BA2ADB"/>
    <w:rsid w:val="548744C6"/>
    <w:rsid w:val="5592C26B"/>
    <w:rsid w:val="5634EFA0"/>
    <w:rsid w:val="56C9C9F7"/>
    <w:rsid w:val="57B3DF20"/>
    <w:rsid w:val="5A20C13F"/>
    <w:rsid w:val="5B460848"/>
    <w:rsid w:val="5BEACBAE"/>
    <w:rsid w:val="5DA949D3"/>
    <w:rsid w:val="5DD2836A"/>
    <w:rsid w:val="603E6BD2"/>
    <w:rsid w:val="61E6A259"/>
    <w:rsid w:val="63D32487"/>
    <w:rsid w:val="69861F26"/>
    <w:rsid w:val="6E4131F4"/>
    <w:rsid w:val="6F929EEB"/>
    <w:rsid w:val="7276A85A"/>
    <w:rsid w:val="7314A317"/>
    <w:rsid w:val="78181909"/>
    <w:rsid w:val="7899D1D2"/>
    <w:rsid w:val="78A74A91"/>
    <w:rsid w:val="793BC3F4"/>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Bullets,References,MCHIP_list paragraph,List Paragraph1,Recommendation,Bullet List,FooterText,Bioforce zListePuce,Lista Colorida - Cor 11,Citation List,ReferencesCxSpLast,lp1,Colorful List Accent 1,Liste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E6DB4"/>
    <w:pPr>
      <w:spacing w:after="120"/>
    </w:pPr>
  </w:style>
  <w:style w:type="character" w:customStyle="1" w:styleId="BodyTextChar">
    <w:name w:val="Body Text Char"/>
    <w:basedOn w:val="DefaultParagraphFont"/>
    <w:link w:val="BodyText"/>
    <w:rsid w:val="00EE6DB4"/>
    <w:rPr>
      <w:rFonts w:ascii="Arial" w:eastAsia="MS PGothic" w:hAnsi="Arial"/>
      <w:color w:val="000000"/>
    </w:rPr>
  </w:style>
  <w:style w:type="paragraph" w:customStyle="1" w:styleId="TableParagraph">
    <w:name w:val="Table Paragraph"/>
    <w:basedOn w:val="Normal"/>
    <w:uiPriority w:val="1"/>
    <w:qFormat/>
    <w:rsid w:val="006C269F"/>
    <w:pPr>
      <w:widowControl w:val="0"/>
      <w:autoSpaceDE w:val="0"/>
      <w:autoSpaceDN w:val="0"/>
      <w:spacing w:line="240" w:lineRule="auto"/>
    </w:pPr>
    <w:rPr>
      <w:rFonts w:ascii="Arial MT" w:eastAsia="Arial MT" w:hAnsi="Arial MT" w:cs="Arial MT"/>
      <w:color w:val="auto"/>
      <w:sz w:val="22"/>
      <w:szCs w:val="22"/>
      <w:lang w:val="fr-FR"/>
    </w:rPr>
  </w:style>
  <w:style w:type="character" w:customStyle="1" w:styleId="ListParagraphChar">
    <w:name w:val="List Paragraph Char"/>
    <w:aliases w:val="List Paragraph (numbered (a)) Char,Bullets Char,References Char,MCHIP_list paragraph Char,List Paragraph1 Char,Recommendation Char,Bullet List Char,FooterText Char,Bioforce zListePuce Char,Lista Colorida - Cor 11 Char,lp1 Char"/>
    <w:link w:val="ListParagraph"/>
    <w:uiPriority w:val="34"/>
    <w:qFormat/>
    <w:locked/>
    <w:rsid w:val="00E376A9"/>
    <w:rPr>
      <w:rFonts w:ascii="Arial" w:eastAsia="MS PGothic" w:hAnsi="Arial"/>
      <w:color w:val="000000"/>
    </w:rPr>
  </w:style>
  <w:style w:type="character" w:styleId="CommentReference">
    <w:name w:val="annotation reference"/>
    <w:basedOn w:val="DefaultParagraphFont"/>
    <w:semiHidden/>
    <w:unhideWhenUsed/>
    <w:rsid w:val="00BB7CA1"/>
    <w:rPr>
      <w:sz w:val="16"/>
      <w:szCs w:val="16"/>
    </w:rPr>
  </w:style>
  <w:style w:type="paragraph" w:styleId="CommentSubject">
    <w:name w:val="annotation subject"/>
    <w:basedOn w:val="CommentText"/>
    <w:next w:val="CommentText"/>
    <w:link w:val="CommentSubjectChar"/>
    <w:semiHidden/>
    <w:unhideWhenUsed/>
    <w:rsid w:val="00BB7CA1"/>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BB7CA1"/>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careers/unicef-provides-reasonable-accommodation-job-candidates-and-personnel-dis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3" ma:contentTypeDescription="Create a new document." ma:contentTypeScope="" ma:versionID="f767b47de466ae24f98265e9605cf1db">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f1242d29cd74f0e86014801cd91fb3c"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51DAEF93-44CE-4558-9E42-FC3496512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38</TotalTime>
  <Pages>5</Pages>
  <Words>2322</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Fatouma Salem</cp:lastModifiedBy>
  <cp:revision>6</cp:revision>
  <cp:lastPrinted>2024-06-06T08:05:00Z</cp:lastPrinted>
  <dcterms:created xsi:type="dcterms:W3CDTF">2024-06-09T13:30:00Z</dcterms:created>
  <dcterms:modified xsi:type="dcterms:W3CDTF">2024-06-09T13:35:00Z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