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 xml:space="preserve">UNICEF in </w:t>
            </w:r>
            <w:r w:rsidR="00CA26D1">
              <w:rPr>
                <w:rFonts w:asciiTheme="minorHAnsi" w:hAnsiTheme="minorHAnsi" w:cstheme="minorHAnsi"/>
                <w:sz w:val="22"/>
                <w:szCs w:val="22"/>
              </w:rPr>
              <w:t>Belarus</w:t>
            </w:r>
          </w:p>
        </w:tc>
      </w:tr>
      <w:tr w:rsidR="00B73E53" w:rsidRPr="002629B4" w14:paraId="42248845" w14:textId="77777777" w:rsidTr="00016AB4">
        <w:tc>
          <w:tcPr>
            <w:tcW w:w="10800" w:type="dxa"/>
            <w:tcBorders>
              <w:top w:val="nil"/>
              <w:left w:val="single" w:sz="6" w:space="0" w:color="auto"/>
              <w:bottom w:val="nil"/>
              <w:right w:val="single" w:sz="6" w:space="0" w:color="auto"/>
            </w:tcBorders>
            <w:shd w:val="pct15" w:color="auto" w:fill="FFFFFF"/>
          </w:tcPr>
          <w:p w14:paraId="3B48460E" w14:textId="77777777" w:rsidR="00B73E53" w:rsidRPr="002629B4" w:rsidRDefault="00B75CCD">
            <w:pPr>
              <w:ind w:left="344" w:right="-108" w:hanging="175"/>
              <w:jc w:val="center"/>
              <w:rPr>
                <w:rFonts w:asciiTheme="minorHAnsi" w:hAnsiTheme="minorHAnsi" w:cstheme="minorHAnsi"/>
                <w:b/>
                <w:bCs/>
                <w:color w:val="000080"/>
                <w:sz w:val="22"/>
                <w:szCs w:val="22"/>
                <w:u w:val="single"/>
                <w:lang w:val="ru-RU"/>
              </w:rPr>
            </w:pPr>
            <w:r w:rsidRPr="00392F18">
              <w:rPr>
                <w:rFonts w:asciiTheme="minorHAnsi" w:hAnsiTheme="minorHAnsi" w:cstheme="minorHAnsi"/>
                <w:b/>
                <w:bCs/>
                <w:color w:val="000080"/>
                <w:sz w:val="22"/>
                <w:szCs w:val="22"/>
                <w:u w:val="single"/>
              </w:rPr>
              <w:t>Requirements</w:t>
            </w:r>
            <w:r w:rsidR="00F81AF8" w:rsidRPr="002629B4">
              <w:rPr>
                <w:rFonts w:asciiTheme="minorHAnsi" w:hAnsiTheme="minorHAnsi" w:cstheme="minorHAnsi"/>
                <w:b/>
                <w:bCs/>
                <w:color w:val="000080"/>
                <w:sz w:val="22"/>
                <w:szCs w:val="22"/>
                <w:u w:val="single"/>
                <w:lang w:val="ru-RU"/>
              </w:rPr>
              <w:t xml:space="preserve"> </w:t>
            </w:r>
            <w:r w:rsidR="00860359" w:rsidRPr="00392F18">
              <w:rPr>
                <w:rFonts w:asciiTheme="minorHAnsi" w:hAnsiTheme="minorHAnsi" w:cstheme="minorHAnsi"/>
                <w:b/>
                <w:bCs/>
                <w:color w:val="000080"/>
                <w:sz w:val="22"/>
                <w:szCs w:val="22"/>
                <w:u w:val="single"/>
              </w:rPr>
              <w:t>for</w:t>
            </w:r>
            <w:r w:rsidR="00F81AF8" w:rsidRPr="002629B4">
              <w:rPr>
                <w:rFonts w:asciiTheme="minorHAnsi" w:hAnsiTheme="minorHAnsi" w:cstheme="minorHAnsi"/>
                <w:b/>
                <w:bCs/>
                <w:color w:val="000080"/>
                <w:sz w:val="22"/>
                <w:szCs w:val="22"/>
                <w:u w:val="single"/>
                <w:lang w:val="ru-RU"/>
              </w:rPr>
              <w:t xml:space="preserve"> </w:t>
            </w:r>
            <w:r w:rsidR="00F81AF8" w:rsidRPr="00392F18">
              <w:rPr>
                <w:rFonts w:asciiTheme="minorHAnsi" w:hAnsiTheme="minorHAnsi" w:cstheme="minorHAnsi"/>
                <w:b/>
                <w:bCs/>
                <w:color w:val="000080"/>
                <w:sz w:val="22"/>
                <w:szCs w:val="22"/>
                <w:u w:val="single"/>
              </w:rPr>
              <w:t>Financial</w:t>
            </w:r>
            <w:r w:rsidR="00F81AF8" w:rsidRPr="002629B4">
              <w:rPr>
                <w:rFonts w:asciiTheme="minorHAnsi" w:hAnsiTheme="minorHAnsi" w:cstheme="minorHAnsi"/>
                <w:b/>
                <w:bCs/>
                <w:color w:val="000080"/>
                <w:sz w:val="22"/>
                <w:szCs w:val="22"/>
                <w:u w:val="single"/>
                <w:lang w:val="ru-RU"/>
              </w:rPr>
              <w:t xml:space="preserve"> </w:t>
            </w:r>
            <w:r w:rsidR="00CA26D1">
              <w:rPr>
                <w:rFonts w:asciiTheme="minorHAnsi" w:hAnsiTheme="minorHAnsi" w:cstheme="minorHAnsi"/>
                <w:b/>
                <w:bCs/>
                <w:color w:val="000080"/>
                <w:sz w:val="22"/>
                <w:szCs w:val="22"/>
                <w:u w:val="single"/>
              </w:rPr>
              <w:t>Offer</w:t>
            </w:r>
          </w:p>
          <w:p w14:paraId="1D3CD783" w14:textId="6C5143C2" w:rsidR="00EA4881" w:rsidRPr="00EA4881" w:rsidRDefault="00EA4881">
            <w:pPr>
              <w:ind w:left="344" w:right="-108" w:hanging="175"/>
              <w:jc w:val="center"/>
              <w:rPr>
                <w:rFonts w:asciiTheme="minorHAnsi" w:hAnsiTheme="minorHAnsi" w:cstheme="minorHAnsi"/>
                <w:b/>
                <w:bCs/>
                <w:color w:val="000080"/>
                <w:sz w:val="22"/>
                <w:szCs w:val="22"/>
                <w:u w:val="single"/>
                <w:lang w:val="ru-RU"/>
              </w:rPr>
            </w:pPr>
            <w:r>
              <w:rPr>
                <w:rFonts w:asciiTheme="minorHAnsi" w:hAnsiTheme="minorHAnsi" w:cstheme="minorHAnsi"/>
                <w:b/>
                <w:bCs/>
                <w:color w:val="000080"/>
                <w:sz w:val="22"/>
                <w:szCs w:val="22"/>
                <w:u w:val="single"/>
                <w:lang w:val="ru-RU"/>
              </w:rPr>
              <w:t>Требования к финансовому предложению</w:t>
            </w:r>
          </w:p>
        </w:tc>
      </w:tr>
      <w:tr w:rsidR="00B73E53" w:rsidRPr="002629B4" w14:paraId="3FB3B1E8" w14:textId="77777777" w:rsidTr="00392F18">
        <w:trPr>
          <w:trHeight w:val="81"/>
        </w:trPr>
        <w:tc>
          <w:tcPr>
            <w:tcW w:w="10800" w:type="dxa"/>
            <w:tcBorders>
              <w:top w:val="nil"/>
              <w:left w:val="single" w:sz="6" w:space="0" w:color="auto"/>
              <w:bottom w:val="single" w:sz="6" w:space="0" w:color="auto"/>
              <w:right w:val="single" w:sz="6" w:space="0" w:color="auto"/>
            </w:tcBorders>
          </w:tcPr>
          <w:p w14:paraId="0E8C8414" w14:textId="77777777" w:rsidR="00B73E53" w:rsidRPr="002629B4" w:rsidRDefault="00B73E53">
            <w:pPr>
              <w:ind w:left="344" w:right="-108" w:hanging="175"/>
              <w:jc w:val="right"/>
              <w:rPr>
                <w:rFonts w:asciiTheme="minorHAnsi" w:hAnsiTheme="minorHAnsi" w:cstheme="minorHAnsi"/>
                <w:b/>
                <w:bCs/>
                <w:sz w:val="22"/>
                <w:szCs w:val="22"/>
                <w:lang w:val="ru-RU"/>
              </w:rPr>
            </w:pPr>
          </w:p>
        </w:tc>
      </w:tr>
      <w:tr w:rsidR="00B73E53" w:rsidRPr="00392F18" w14:paraId="48BA5FC3" w14:textId="77777777" w:rsidTr="00016AB4">
        <w:tc>
          <w:tcPr>
            <w:tcW w:w="10800" w:type="dxa"/>
            <w:tcBorders>
              <w:top w:val="nil"/>
            </w:tcBorders>
            <w:shd w:val="pct15" w:color="auto" w:fill="FFFFFF"/>
          </w:tcPr>
          <w:p w14:paraId="6BBCE56C" w14:textId="35A85107"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2F649A">
              <w:rPr>
                <w:rFonts w:asciiTheme="minorHAnsi" w:hAnsiTheme="minorHAnsi" w:cstheme="minorHAnsi"/>
                <w:b/>
                <w:bCs/>
                <w:color w:val="000000" w:themeColor="text1"/>
                <w:sz w:val="22"/>
                <w:szCs w:val="22"/>
              </w:rPr>
              <w:t>:</w:t>
            </w:r>
            <w:r w:rsidRPr="002F649A">
              <w:rPr>
                <w:rFonts w:asciiTheme="minorHAnsi" w:hAnsiTheme="minorHAnsi" w:cstheme="minorHAnsi"/>
                <w:color w:val="000000" w:themeColor="text1"/>
                <w:sz w:val="22"/>
                <w:szCs w:val="22"/>
              </w:rPr>
              <w:t xml:space="preserve">  </w:t>
            </w:r>
            <w:r w:rsidR="0092719C" w:rsidRPr="0092719C">
              <w:rPr>
                <w:rFonts w:asciiTheme="minorHAnsi" w:hAnsiTheme="minorHAnsi" w:cstheme="minorHAnsi"/>
                <w:color w:val="000000" w:themeColor="text1"/>
                <w:sz w:val="22"/>
                <w:szCs w:val="22"/>
              </w:rPr>
              <w:t>ECD/Education Section, UNICEF Belarus Country Office</w:t>
            </w:r>
          </w:p>
        </w:tc>
      </w:tr>
      <w:tr w:rsidR="001142CC" w:rsidRPr="00392F18" w14:paraId="58569FBE" w14:textId="77777777" w:rsidTr="0058634B">
        <w:trPr>
          <w:trHeight w:val="430"/>
        </w:trPr>
        <w:tc>
          <w:tcPr>
            <w:tcW w:w="10800" w:type="dxa"/>
            <w:shd w:val="pct15" w:color="auto" w:fill="FFFFFF"/>
          </w:tcPr>
          <w:p w14:paraId="4C78FB89" w14:textId="2F4876B5"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w:t>
            </w:r>
            <w:r w:rsidRPr="00020162">
              <w:rPr>
                <w:rFonts w:asciiTheme="minorHAnsi" w:hAnsiTheme="minorHAnsi" w:cstheme="minorHAnsi"/>
                <w:b/>
                <w:bCs/>
                <w:color w:val="244061" w:themeColor="accent1" w:themeShade="80"/>
                <w:sz w:val="22"/>
                <w:szCs w:val="22"/>
                <w:lang w:val="ru-RU"/>
              </w:rPr>
              <w:t xml:space="preserve"> </w:t>
            </w:r>
            <w:r w:rsidRPr="00392F18">
              <w:rPr>
                <w:rFonts w:asciiTheme="minorHAnsi" w:hAnsiTheme="minorHAnsi" w:cstheme="minorHAnsi"/>
                <w:b/>
                <w:bCs/>
                <w:color w:val="244061" w:themeColor="accent1" w:themeShade="80"/>
                <w:sz w:val="22"/>
                <w:szCs w:val="22"/>
              </w:rPr>
              <w:t>Title</w:t>
            </w:r>
            <w:r w:rsidRPr="00020162">
              <w:rPr>
                <w:rFonts w:asciiTheme="minorHAnsi" w:hAnsiTheme="minorHAnsi" w:cstheme="minorHAnsi"/>
                <w:b/>
                <w:bCs/>
                <w:color w:val="244061" w:themeColor="accent1" w:themeShade="80"/>
                <w:sz w:val="22"/>
                <w:szCs w:val="22"/>
                <w:lang w:val="ru-RU"/>
              </w:rPr>
              <w:t>:</w:t>
            </w:r>
            <w:r w:rsidRPr="00020162">
              <w:rPr>
                <w:rFonts w:asciiTheme="minorHAnsi" w:hAnsiTheme="minorHAnsi" w:cstheme="minorHAnsi"/>
                <w:color w:val="244061" w:themeColor="accent1" w:themeShade="80"/>
                <w:sz w:val="22"/>
                <w:szCs w:val="22"/>
                <w:lang w:val="ru-RU"/>
              </w:rPr>
              <w:t xml:space="preserve"> </w:t>
            </w:r>
            <w:r w:rsidR="00020162" w:rsidRPr="00020162">
              <w:rPr>
                <w:rFonts w:asciiTheme="minorHAnsi" w:hAnsiTheme="minorHAnsi" w:cstheme="minorHAnsi"/>
                <w:b/>
                <w:bCs/>
                <w:color w:val="000000" w:themeColor="text1"/>
                <w:sz w:val="22"/>
                <w:szCs w:val="22"/>
                <w:lang w:val="ru-RU"/>
              </w:rPr>
              <w:t xml:space="preserve">Национальный консультант по разработке методологии и инструментария оценки доступности учреждений образования для детей с инвалидностью </w:t>
            </w:r>
            <w:r w:rsidR="00020162" w:rsidRPr="00020162">
              <w:rPr>
                <w:rFonts w:asciiTheme="minorHAnsi" w:hAnsiTheme="minorHAnsi" w:cstheme="minorHAnsi"/>
                <w:b/>
                <w:bCs/>
                <w:color w:val="000000" w:themeColor="text1"/>
                <w:sz w:val="22"/>
                <w:szCs w:val="22"/>
              </w:rPr>
              <w:t>(Беларусь)</w:t>
            </w:r>
          </w:p>
        </w:tc>
      </w:tr>
      <w:tr w:rsidR="00B73E53" w:rsidRPr="002629B4" w14:paraId="4BA3379B" w14:textId="77777777" w:rsidTr="00CE73B9">
        <w:trPr>
          <w:trHeight w:val="516"/>
        </w:trPr>
        <w:tc>
          <w:tcPr>
            <w:tcW w:w="10800" w:type="dxa"/>
          </w:tcPr>
          <w:p w14:paraId="0E82D147" w14:textId="35EF0C71" w:rsidR="004F354E" w:rsidRPr="00967022" w:rsidRDefault="002B75B3" w:rsidP="00392F18">
            <w:pPr>
              <w:pStyle w:val="NormalWeb"/>
              <w:rPr>
                <w:rFonts w:asciiTheme="minorHAnsi" w:hAnsiTheme="minorHAnsi" w:cstheme="minorHAnsi"/>
                <w:bCs/>
                <w:color w:val="000000"/>
                <w:sz w:val="22"/>
                <w:szCs w:val="22"/>
                <w:lang w:val="ru-RU"/>
              </w:rPr>
            </w:pPr>
            <w:r w:rsidRPr="00CA26D1">
              <w:rPr>
                <w:rFonts w:asciiTheme="minorHAnsi" w:hAnsiTheme="minorHAnsi" w:cstheme="minorHAnsi"/>
                <w:b/>
                <w:bCs/>
                <w:color w:val="1F497D" w:themeColor="text2"/>
                <w:sz w:val="22"/>
                <w:szCs w:val="22"/>
              </w:rPr>
              <w:t>Purpose</w:t>
            </w:r>
            <w:r w:rsidRPr="00967022">
              <w:rPr>
                <w:rFonts w:asciiTheme="minorHAnsi" w:hAnsiTheme="minorHAnsi" w:cstheme="minorHAnsi"/>
                <w:b/>
                <w:bCs/>
                <w:color w:val="1F497D" w:themeColor="text2"/>
                <w:sz w:val="22"/>
                <w:szCs w:val="22"/>
                <w:lang w:val="ru-RU"/>
              </w:rPr>
              <w:t xml:space="preserve"> </w:t>
            </w:r>
            <w:r w:rsidRPr="00CA26D1">
              <w:rPr>
                <w:rFonts w:asciiTheme="minorHAnsi" w:hAnsiTheme="minorHAnsi" w:cstheme="minorHAnsi"/>
                <w:b/>
                <w:bCs/>
                <w:color w:val="1F497D" w:themeColor="text2"/>
                <w:sz w:val="22"/>
                <w:szCs w:val="22"/>
              </w:rPr>
              <w:t>of</w:t>
            </w:r>
            <w:r w:rsidR="001142CC" w:rsidRPr="00967022">
              <w:rPr>
                <w:rFonts w:asciiTheme="minorHAnsi" w:hAnsiTheme="minorHAnsi" w:cstheme="minorHAnsi"/>
                <w:b/>
                <w:bCs/>
                <w:color w:val="1F497D" w:themeColor="text2"/>
                <w:sz w:val="22"/>
                <w:szCs w:val="22"/>
                <w:lang w:val="ru-RU"/>
              </w:rPr>
              <w:t xml:space="preserve"> </w:t>
            </w:r>
            <w:r w:rsidR="001142CC" w:rsidRPr="00CA26D1">
              <w:rPr>
                <w:rFonts w:asciiTheme="minorHAnsi" w:hAnsiTheme="minorHAnsi" w:cstheme="minorHAnsi"/>
                <w:b/>
                <w:bCs/>
                <w:color w:val="1F497D" w:themeColor="text2"/>
                <w:sz w:val="22"/>
                <w:szCs w:val="22"/>
              </w:rPr>
              <w:t>the</w:t>
            </w:r>
            <w:r w:rsidRPr="00967022">
              <w:rPr>
                <w:rFonts w:asciiTheme="minorHAnsi" w:hAnsiTheme="minorHAnsi" w:cstheme="minorHAnsi"/>
                <w:b/>
                <w:bCs/>
                <w:color w:val="1F497D" w:themeColor="text2"/>
                <w:sz w:val="22"/>
                <w:szCs w:val="22"/>
                <w:lang w:val="ru-RU"/>
              </w:rPr>
              <w:t xml:space="preserve"> </w:t>
            </w:r>
            <w:r w:rsidRPr="00CA26D1">
              <w:rPr>
                <w:rFonts w:asciiTheme="minorHAnsi" w:hAnsiTheme="minorHAnsi" w:cstheme="minorHAnsi"/>
                <w:b/>
                <w:bCs/>
                <w:color w:val="1F497D" w:themeColor="text2"/>
                <w:sz w:val="22"/>
                <w:szCs w:val="22"/>
              </w:rPr>
              <w:t>Assignment</w:t>
            </w:r>
            <w:r w:rsidRPr="00967022">
              <w:rPr>
                <w:rFonts w:asciiTheme="minorHAnsi" w:hAnsiTheme="minorHAnsi" w:cstheme="minorHAnsi"/>
                <w:b/>
                <w:bCs/>
                <w:color w:val="1F497D" w:themeColor="text2"/>
                <w:sz w:val="22"/>
                <w:szCs w:val="22"/>
                <w:lang w:val="ru-RU"/>
              </w:rPr>
              <w:t>:</w:t>
            </w:r>
            <w:r w:rsidRPr="00967022">
              <w:rPr>
                <w:rFonts w:asciiTheme="minorHAnsi" w:hAnsiTheme="minorHAnsi" w:cstheme="minorHAnsi"/>
                <w:b/>
                <w:bCs/>
                <w:color w:val="000000" w:themeColor="text1"/>
                <w:sz w:val="22"/>
                <w:szCs w:val="22"/>
                <w:lang w:val="ru-RU"/>
              </w:rPr>
              <w:t xml:space="preserve"> </w:t>
            </w:r>
            <w:r w:rsidR="00967022" w:rsidRPr="00967022">
              <w:rPr>
                <w:rFonts w:asciiTheme="minorHAnsi" w:hAnsiTheme="minorHAnsi" w:cstheme="minorHAnsi"/>
                <w:color w:val="000000" w:themeColor="text1"/>
                <w:sz w:val="22"/>
                <w:szCs w:val="22"/>
                <w:lang w:val="ru-RU"/>
              </w:rPr>
              <w:t>ЮНИСЕФ намерен привлечь индивидуального национального консультанта для разработки методологии и инструментария оценки доступности учреждений дошкольного и школьного образования для детей с инвалидности в соответствии с требованиями законодательства Республики Беларусь для последующего регулярного использования Министерством образования для оценки прогресса в обеспечении доступности учреждений образования для детей с инвалидностью.</w:t>
            </w:r>
          </w:p>
        </w:tc>
      </w:tr>
      <w:tr w:rsidR="00B73E53" w:rsidRPr="00392F18" w14:paraId="3E6B3087" w14:textId="77777777" w:rsidTr="00016AB4">
        <w:tc>
          <w:tcPr>
            <w:tcW w:w="10800" w:type="dxa"/>
          </w:tcPr>
          <w:p w14:paraId="4F991298" w14:textId="0F4466EF" w:rsidR="009263B9" w:rsidRPr="00392F18" w:rsidRDefault="00B73E53" w:rsidP="005374A0">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w:t>
            </w:r>
            <w:r w:rsidR="003671D4" w:rsidRPr="003671D4">
              <w:rPr>
                <w:rFonts w:asciiTheme="minorHAnsi" w:hAnsiTheme="minorHAnsi" w:cstheme="minorHAnsi"/>
                <w:sz w:val="22"/>
                <w:szCs w:val="22"/>
              </w:rPr>
              <w:t>Education Officer, UNICEF Country Office in Belarus</w:t>
            </w:r>
          </w:p>
        </w:tc>
      </w:tr>
    </w:tbl>
    <w:p w14:paraId="445F1984" w14:textId="1478352E" w:rsidR="006C259F" w:rsidRDefault="006C259F" w:rsidP="001142CC">
      <w:pPr>
        <w:rPr>
          <w:rFonts w:asciiTheme="minorHAnsi" w:hAnsiTheme="minorHAnsi" w:cstheme="minorHAnsi"/>
          <w:sz w:val="22"/>
          <w:szCs w:val="22"/>
        </w:rPr>
      </w:pPr>
    </w:p>
    <w:tbl>
      <w:tblPr>
        <w:tblStyle w:val="TableGrid"/>
        <w:tblW w:w="9806" w:type="dxa"/>
        <w:tblInd w:w="-455" w:type="dxa"/>
        <w:tblLayout w:type="fixed"/>
        <w:tblLook w:val="04A0" w:firstRow="1" w:lastRow="0" w:firstColumn="1" w:lastColumn="0" w:noHBand="0" w:noVBand="1"/>
      </w:tblPr>
      <w:tblGrid>
        <w:gridCol w:w="630"/>
        <w:gridCol w:w="2970"/>
        <w:gridCol w:w="1800"/>
        <w:gridCol w:w="1350"/>
        <w:gridCol w:w="3056"/>
      </w:tblGrid>
      <w:tr w:rsidR="001170C6" w:rsidRPr="001170C6" w14:paraId="7579CAC6" w14:textId="77777777" w:rsidTr="001170C6">
        <w:tc>
          <w:tcPr>
            <w:tcW w:w="630" w:type="dxa"/>
            <w:shd w:val="clear" w:color="auto" w:fill="D9D9D9" w:themeFill="background1" w:themeFillShade="D9"/>
          </w:tcPr>
          <w:p w14:paraId="1A4ED269" w14:textId="77777777" w:rsidR="001170C6" w:rsidRDefault="001170C6" w:rsidP="00F62BEC">
            <w:pPr>
              <w:spacing w:before="60" w:after="60" w:line="259" w:lineRule="auto"/>
              <w:rPr>
                <w:rFonts w:asciiTheme="minorHAnsi" w:hAnsiTheme="minorHAnsi" w:cstheme="minorHAnsi"/>
                <w:b/>
                <w:bCs/>
                <w:highlight w:val="lightGray"/>
                <w:lang w:val="ru-RU"/>
              </w:rPr>
            </w:pPr>
            <w:r>
              <w:rPr>
                <w:rFonts w:asciiTheme="minorHAnsi" w:hAnsiTheme="minorHAnsi" w:cstheme="minorHAnsi"/>
                <w:b/>
                <w:bCs/>
                <w:highlight w:val="lightGray"/>
                <w:lang w:val="ru-RU"/>
              </w:rPr>
              <w:t>№</w:t>
            </w:r>
          </w:p>
        </w:tc>
        <w:tc>
          <w:tcPr>
            <w:tcW w:w="2970" w:type="dxa"/>
            <w:shd w:val="clear" w:color="auto" w:fill="D9D9D9" w:themeFill="background1" w:themeFillShade="D9"/>
          </w:tcPr>
          <w:p w14:paraId="5CEAC130" w14:textId="77777777" w:rsidR="001170C6" w:rsidRPr="00FA41C2" w:rsidRDefault="001170C6" w:rsidP="00F62BEC">
            <w:pPr>
              <w:spacing w:before="60" w:after="60" w:line="259" w:lineRule="auto"/>
              <w:rPr>
                <w:rFonts w:asciiTheme="minorHAnsi" w:hAnsiTheme="minorHAnsi" w:cstheme="minorHAnsi"/>
                <w:b/>
                <w:bCs/>
                <w:highlight w:val="lightGray"/>
              </w:rPr>
            </w:pPr>
            <w:r>
              <w:rPr>
                <w:rFonts w:asciiTheme="minorHAnsi" w:hAnsiTheme="minorHAnsi" w:cstheme="minorHAnsi"/>
                <w:b/>
                <w:bCs/>
                <w:highlight w:val="lightGray"/>
                <w:lang w:val="ru-RU"/>
              </w:rPr>
              <w:t>Основные</w:t>
            </w:r>
            <w:r w:rsidRPr="008D459B">
              <w:rPr>
                <w:rFonts w:asciiTheme="minorHAnsi" w:hAnsiTheme="minorHAnsi" w:cstheme="minorHAnsi"/>
                <w:b/>
                <w:bCs/>
                <w:highlight w:val="lightGray"/>
              </w:rPr>
              <w:t xml:space="preserve"> </w:t>
            </w:r>
            <w:r>
              <w:rPr>
                <w:rFonts w:asciiTheme="minorHAnsi" w:hAnsiTheme="minorHAnsi" w:cstheme="minorHAnsi"/>
                <w:b/>
                <w:bCs/>
                <w:highlight w:val="lightGray"/>
                <w:lang w:val="ru-RU"/>
              </w:rPr>
              <w:t>этапы</w:t>
            </w:r>
            <w:r w:rsidRPr="008D459B">
              <w:rPr>
                <w:rFonts w:asciiTheme="minorHAnsi" w:hAnsiTheme="minorHAnsi" w:cstheme="minorHAnsi"/>
                <w:b/>
                <w:bCs/>
                <w:highlight w:val="lightGray"/>
              </w:rPr>
              <w:t xml:space="preserve"> </w:t>
            </w:r>
            <w:r>
              <w:rPr>
                <w:rFonts w:asciiTheme="minorHAnsi" w:hAnsiTheme="minorHAnsi" w:cstheme="minorHAnsi"/>
                <w:b/>
                <w:bCs/>
                <w:highlight w:val="lightGray"/>
                <w:lang w:val="ru-RU"/>
              </w:rPr>
              <w:t>работ</w:t>
            </w:r>
          </w:p>
        </w:tc>
        <w:tc>
          <w:tcPr>
            <w:tcW w:w="1800" w:type="dxa"/>
            <w:shd w:val="clear" w:color="auto" w:fill="D9D9D9" w:themeFill="background1" w:themeFillShade="D9"/>
          </w:tcPr>
          <w:p w14:paraId="35022D5F" w14:textId="77777777" w:rsidR="001170C6" w:rsidRPr="00FA41C2" w:rsidRDefault="001170C6" w:rsidP="00F62BEC">
            <w:pPr>
              <w:spacing w:before="60" w:after="60" w:line="259" w:lineRule="auto"/>
              <w:rPr>
                <w:rFonts w:asciiTheme="minorHAnsi" w:hAnsiTheme="minorHAnsi" w:cstheme="minorHAnsi"/>
                <w:b/>
                <w:bCs/>
                <w:highlight w:val="lightGray"/>
              </w:rPr>
            </w:pPr>
            <w:r>
              <w:rPr>
                <w:rFonts w:asciiTheme="minorHAnsi" w:hAnsiTheme="minorHAnsi" w:cstheme="minorHAnsi"/>
                <w:b/>
                <w:bCs/>
                <w:highlight w:val="lightGray"/>
                <w:lang w:val="ru-RU"/>
              </w:rPr>
              <w:t>Результаты</w:t>
            </w:r>
          </w:p>
        </w:tc>
        <w:tc>
          <w:tcPr>
            <w:tcW w:w="1350" w:type="dxa"/>
            <w:shd w:val="clear" w:color="auto" w:fill="D9D9D9" w:themeFill="background1" w:themeFillShade="D9"/>
          </w:tcPr>
          <w:p w14:paraId="2F9374AC" w14:textId="77777777" w:rsidR="001170C6" w:rsidRPr="00FA41C2" w:rsidRDefault="001170C6" w:rsidP="00F62BEC">
            <w:pPr>
              <w:spacing w:before="60" w:after="60" w:line="259" w:lineRule="auto"/>
              <w:rPr>
                <w:rFonts w:asciiTheme="minorHAnsi" w:hAnsiTheme="minorHAnsi" w:cstheme="minorHAnsi"/>
                <w:b/>
                <w:bCs/>
                <w:highlight w:val="lightGray"/>
              </w:rPr>
            </w:pPr>
            <w:r>
              <w:rPr>
                <w:rFonts w:asciiTheme="minorHAnsi" w:hAnsiTheme="minorHAnsi" w:cstheme="minorHAnsi"/>
                <w:b/>
                <w:bCs/>
                <w:highlight w:val="lightGray"/>
                <w:lang w:val="ru-RU"/>
              </w:rPr>
              <w:t>Даты выполнения</w:t>
            </w:r>
          </w:p>
        </w:tc>
        <w:tc>
          <w:tcPr>
            <w:tcW w:w="3056" w:type="dxa"/>
            <w:shd w:val="clear" w:color="auto" w:fill="D9D9D9" w:themeFill="background1" w:themeFillShade="D9"/>
          </w:tcPr>
          <w:p w14:paraId="6E8A2037" w14:textId="68DE79BF" w:rsidR="001170C6" w:rsidRDefault="00736E55" w:rsidP="00F62BEC">
            <w:pPr>
              <w:spacing w:before="60" w:after="60" w:line="259" w:lineRule="auto"/>
              <w:rPr>
                <w:rFonts w:asciiTheme="minorHAnsi" w:hAnsiTheme="minorHAnsi" w:cstheme="minorHAnsi"/>
                <w:b/>
                <w:bCs/>
                <w:highlight w:val="lightGray"/>
                <w:lang w:val="ru-RU"/>
              </w:rPr>
            </w:pPr>
            <w:r>
              <w:rPr>
                <w:rFonts w:asciiTheme="minorHAnsi" w:hAnsiTheme="minorHAnsi" w:cstheme="minorHAnsi"/>
                <w:b/>
                <w:bCs/>
                <w:highlight w:val="lightGray"/>
                <w:lang w:val="ru-RU"/>
              </w:rPr>
              <w:t>Гонорар за выполнение работы</w:t>
            </w:r>
            <w:r w:rsidR="001170C6" w:rsidRPr="008D459B">
              <w:rPr>
                <w:rFonts w:asciiTheme="minorHAnsi" w:hAnsiTheme="minorHAnsi" w:cstheme="minorHAnsi"/>
                <w:b/>
                <w:bCs/>
                <w:highlight w:val="lightGray"/>
                <w:lang w:val="ru-RU"/>
              </w:rPr>
              <w:t xml:space="preserve"> </w:t>
            </w:r>
            <w:r w:rsidR="001170C6">
              <w:rPr>
                <w:rFonts w:asciiTheme="minorHAnsi" w:hAnsiTheme="minorHAnsi" w:cstheme="minorHAnsi"/>
                <w:b/>
                <w:bCs/>
                <w:highlight w:val="lightGray"/>
                <w:lang w:val="ru-RU"/>
              </w:rPr>
              <w:t>и</w:t>
            </w:r>
            <w:r w:rsidR="001170C6" w:rsidRPr="008D459B">
              <w:rPr>
                <w:rFonts w:asciiTheme="minorHAnsi" w:hAnsiTheme="minorHAnsi" w:cstheme="minorHAnsi"/>
                <w:b/>
                <w:bCs/>
                <w:highlight w:val="lightGray"/>
                <w:lang w:val="ru-RU"/>
              </w:rPr>
              <w:t xml:space="preserve"> </w:t>
            </w:r>
            <w:r w:rsidR="001170C6">
              <w:rPr>
                <w:rFonts w:asciiTheme="minorHAnsi" w:hAnsiTheme="minorHAnsi" w:cstheme="minorHAnsi"/>
                <w:b/>
                <w:bCs/>
                <w:highlight w:val="lightGray"/>
                <w:lang w:val="ru-RU"/>
              </w:rPr>
              <w:t>финансовая</w:t>
            </w:r>
            <w:r w:rsidR="001170C6" w:rsidRPr="008D459B">
              <w:rPr>
                <w:rFonts w:asciiTheme="minorHAnsi" w:hAnsiTheme="minorHAnsi" w:cstheme="minorHAnsi"/>
                <w:b/>
                <w:bCs/>
                <w:highlight w:val="lightGray"/>
                <w:lang w:val="ru-RU"/>
              </w:rPr>
              <w:t xml:space="preserve"> </w:t>
            </w:r>
            <w:r w:rsidR="001170C6">
              <w:rPr>
                <w:rFonts w:asciiTheme="minorHAnsi" w:hAnsiTheme="minorHAnsi" w:cstheme="minorHAnsi"/>
                <w:b/>
                <w:bCs/>
                <w:highlight w:val="lightGray"/>
                <w:lang w:val="ru-RU"/>
              </w:rPr>
              <w:t>информация</w:t>
            </w:r>
          </w:p>
          <w:p w14:paraId="46EFB82F" w14:textId="5AFE72E2" w:rsidR="001170C6" w:rsidRPr="001170C6" w:rsidRDefault="001170C6" w:rsidP="00F62BEC">
            <w:pPr>
              <w:spacing w:before="60" w:after="60" w:line="259" w:lineRule="auto"/>
              <w:rPr>
                <w:rFonts w:asciiTheme="minorHAnsi" w:hAnsiTheme="minorHAnsi" w:cstheme="minorHAnsi"/>
                <w:b/>
                <w:bCs/>
                <w:highlight w:val="lightGray"/>
                <w:lang w:val="ru-RU"/>
              </w:rPr>
            </w:pPr>
            <w:r w:rsidRPr="008D459B">
              <w:rPr>
                <w:rFonts w:asciiTheme="minorHAnsi" w:hAnsiTheme="minorHAnsi" w:cstheme="minorHAnsi"/>
                <w:b/>
                <w:bCs/>
                <w:highlight w:val="lightGray"/>
                <w:lang w:val="ru-RU"/>
              </w:rPr>
              <w:t>(</w:t>
            </w:r>
            <w:r>
              <w:rPr>
                <w:rFonts w:asciiTheme="minorHAnsi" w:hAnsiTheme="minorHAnsi" w:cstheme="minorHAnsi"/>
                <w:b/>
                <w:bCs/>
                <w:highlight w:val="lightGray"/>
                <w:lang w:val="en-US"/>
              </w:rPr>
              <w:t>in </w:t>
            </w:r>
            <w:r>
              <w:rPr>
                <w:rFonts w:asciiTheme="minorHAnsi" w:hAnsiTheme="minorHAnsi" w:cstheme="minorHAnsi"/>
                <w:b/>
                <w:bCs/>
                <w:highlight w:val="lightGray"/>
              </w:rPr>
              <w:t>USD</w:t>
            </w:r>
            <w:r w:rsidRPr="001170C6">
              <w:rPr>
                <w:rFonts w:asciiTheme="minorHAnsi" w:hAnsiTheme="minorHAnsi" w:cstheme="minorHAnsi"/>
                <w:b/>
                <w:bCs/>
                <w:highlight w:val="lightGray"/>
                <w:lang w:val="ru-RU"/>
              </w:rPr>
              <w:t>)</w:t>
            </w:r>
          </w:p>
        </w:tc>
      </w:tr>
      <w:tr w:rsidR="001170C6" w:rsidRPr="00821D1D" w14:paraId="6F2EF3CE" w14:textId="77777777" w:rsidTr="001170C6">
        <w:tc>
          <w:tcPr>
            <w:tcW w:w="630" w:type="dxa"/>
          </w:tcPr>
          <w:p w14:paraId="5C64F6C1" w14:textId="77777777" w:rsidR="001170C6" w:rsidRDefault="001170C6" w:rsidP="00F62BEC">
            <w:pPr>
              <w:spacing w:before="60" w:after="60" w:line="259" w:lineRule="auto"/>
              <w:rPr>
                <w:rFonts w:asciiTheme="minorHAnsi" w:hAnsiTheme="minorHAnsi" w:cstheme="minorHAnsi"/>
                <w:lang w:val="ru-RU"/>
              </w:rPr>
            </w:pPr>
          </w:p>
        </w:tc>
        <w:tc>
          <w:tcPr>
            <w:tcW w:w="2970" w:type="dxa"/>
          </w:tcPr>
          <w:p w14:paraId="285B2873" w14:textId="77777777" w:rsidR="001170C6" w:rsidRPr="00D430D1"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Подписание</w:t>
            </w:r>
            <w:r w:rsidRPr="00D430D1">
              <w:rPr>
                <w:rFonts w:asciiTheme="minorHAnsi" w:hAnsiTheme="minorHAnsi" w:cstheme="minorHAnsi"/>
                <w:lang w:val="ru-RU"/>
              </w:rPr>
              <w:t xml:space="preserve"> </w:t>
            </w:r>
            <w:r>
              <w:rPr>
                <w:rFonts w:asciiTheme="minorHAnsi" w:hAnsiTheme="minorHAnsi" w:cstheme="minorHAnsi"/>
                <w:lang w:val="ru-RU"/>
              </w:rPr>
              <w:t>контракта</w:t>
            </w:r>
            <w:r w:rsidRPr="00D430D1">
              <w:rPr>
                <w:rFonts w:asciiTheme="minorHAnsi" w:hAnsiTheme="minorHAnsi" w:cstheme="minorHAnsi"/>
                <w:lang w:val="ru-RU"/>
              </w:rPr>
              <w:t xml:space="preserve">, </w:t>
            </w:r>
            <w:r>
              <w:rPr>
                <w:rFonts w:asciiTheme="minorHAnsi" w:hAnsiTheme="minorHAnsi" w:cstheme="minorHAnsi"/>
                <w:lang w:val="ru-RU"/>
              </w:rPr>
              <w:t>информационная</w:t>
            </w:r>
            <w:r w:rsidRPr="00D430D1">
              <w:rPr>
                <w:rFonts w:asciiTheme="minorHAnsi" w:hAnsiTheme="minorHAnsi" w:cstheme="minorHAnsi"/>
                <w:lang w:val="ru-RU"/>
              </w:rPr>
              <w:t xml:space="preserve"> </w:t>
            </w:r>
            <w:r>
              <w:rPr>
                <w:rFonts w:asciiTheme="minorHAnsi" w:hAnsiTheme="minorHAnsi" w:cstheme="minorHAnsi"/>
                <w:lang w:val="ru-RU"/>
              </w:rPr>
              <w:t>встреча</w:t>
            </w:r>
            <w:r w:rsidRPr="00D430D1">
              <w:rPr>
                <w:rFonts w:asciiTheme="minorHAnsi" w:hAnsiTheme="minorHAnsi" w:cstheme="minorHAnsi"/>
                <w:lang w:val="ru-RU"/>
              </w:rPr>
              <w:t xml:space="preserve"> </w:t>
            </w:r>
            <w:r>
              <w:rPr>
                <w:rFonts w:asciiTheme="minorHAnsi" w:hAnsiTheme="minorHAnsi" w:cstheme="minorHAnsi"/>
                <w:lang w:val="ru-RU"/>
              </w:rPr>
              <w:t>с представителями ЮНИСЕФ, ответственными за работу</w:t>
            </w:r>
          </w:p>
        </w:tc>
        <w:tc>
          <w:tcPr>
            <w:tcW w:w="1800" w:type="dxa"/>
          </w:tcPr>
          <w:p w14:paraId="4C2B918D" w14:textId="77777777" w:rsidR="001170C6" w:rsidRPr="004461F2"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Контракт подписан</w:t>
            </w:r>
          </w:p>
          <w:p w14:paraId="3E7BBCE4" w14:textId="77777777" w:rsidR="001170C6" w:rsidRPr="00D430D1"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Информационная встреча проведена</w:t>
            </w:r>
          </w:p>
        </w:tc>
        <w:tc>
          <w:tcPr>
            <w:tcW w:w="1350" w:type="dxa"/>
          </w:tcPr>
          <w:p w14:paraId="2C0A5B89" w14:textId="77777777" w:rsidR="001170C6" w:rsidRPr="00977BD2" w:rsidRDefault="001170C6" w:rsidP="00F62BEC">
            <w:pPr>
              <w:spacing w:before="60" w:after="60" w:line="259" w:lineRule="auto"/>
              <w:rPr>
                <w:rFonts w:asciiTheme="minorHAnsi" w:hAnsiTheme="minorHAnsi" w:cstheme="minorHAnsi"/>
              </w:rPr>
            </w:pPr>
            <w:r>
              <w:rPr>
                <w:rFonts w:ascii="Calibri" w:hAnsi="Calibri" w:cs="Calibri"/>
                <w:lang w:val="ru-RU"/>
              </w:rPr>
              <w:t>5</w:t>
            </w:r>
            <w:r w:rsidRPr="00526E4F">
              <w:rPr>
                <w:rFonts w:ascii="Calibri" w:hAnsi="Calibri" w:cs="Calibri"/>
              </w:rPr>
              <w:t>.0</w:t>
            </w:r>
            <w:r>
              <w:rPr>
                <w:rFonts w:ascii="Calibri" w:hAnsi="Calibri" w:cs="Calibri"/>
                <w:lang w:val="ru-RU"/>
              </w:rPr>
              <w:t>7</w:t>
            </w:r>
            <w:r w:rsidRPr="00526E4F">
              <w:rPr>
                <w:rFonts w:ascii="Calibri" w:hAnsi="Calibri" w:cs="Calibri"/>
              </w:rPr>
              <w:t>.2024</w:t>
            </w:r>
          </w:p>
        </w:tc>
        <w:tc>
          <w:tcPr>
            <w:tcW w:w="3056" w:type="dxa"/>
          </w:tcPr>
          <w:p w14:paraId="2090D458" w14:textId="77777777" w:rsidR="001170C6" w:rsidRPr="003B5548" w:rsidRDefault="001170C6" w:rsidP="00F62BEC">
            <w:pPr>
              <w:spacing w:before="60" w:after="60" w:line="259" w:lineRule="auto"/>
              <w:rPr>
                <w:rFonts w:asciiTheme="minorHAnsi" w:hAnsiTheme="minorHAnsi" w:cstheme="minorHAnsi"/>
                <w:lang w:val="ru-RU"/>
              </w:rPr>
            </w:pPr>
          </w:p>
        </w:tc>
      </w:tr>
      <w:tr w:rsidR="001170C6" w:rsidRPr="005B2B56" w14:paraId="0DC65F55" w14:textId="77777777" w:rsidTr="001170C6">
        <w:tc>
          <w:tcPr>
            <w:tcW w:w="630" w:type="dxa"/>
            <w:vMerge w:val="restart"/>
          </w:tcPr>
          <w:p w14:paraId="774C1CBE" w14:textId="77777777" w:rsidR="001170C6" w:rsidRPr="00D430D1" w:rsidRDefault="001170C6" w:rsidP="00F62BEC">
            <w:pPr>
              <w:spacing w:before="60" w:after="60" w:line="259" w:lineRule="auto"/>
              <w:rPr>
                <w:rStyle w:val="normaltextrun"/>
                <w:rFonts w:asciiTheme="minorHAnsi" w:hAnsiTheme="minorHAnsi" w:cstheme="minorHAnsi"/>
                <w:lang w:val="ru-RU"/>
              </w:rPr>
            </w:pPr>
            <w:r>
              <w:rPr>
                <w:rStyle w:val="normaltextrun"/>
                <w:rFonts w:asciiTheme="minorHAnsi" w:hAnsiTheme="minorHAnsi" w:cstheme="minorHAnsi"/>
                <w:lang w:val="ru-RU"/>
              </w:rPr>
              <w:t>1</w:t>
            </w:r>
          </w:p>
        </w:tc>
        <w:tc>
          <w:tcPr>
            <w:tcW w:w="2970" w:type="dxa"/>
          </w:tcPr>
          <w:p w14:paraId="3DF7AF6B" w14:textId="77777777" w:rsidR="001170C6" w:rsidRPr="00D430D1" w:rsidRDefault="001170C6" w:rsidP="00F62BEC">
            <w:pPr>
              <w:spacing w:before="60" w:after="60" w:line="259" w:lineRule="auto"/>
              <w:rPr>
                <w:rFonts w:asciiTheme="minorHAnsi" w:hAnsiTheme="minorHAnsi" w:cstheme="minorHAnsi"/>
                <w:lang w:val="ru-RU"/>
              </w:rPr>
            </w:pPr>
            <w:r w:rsidRPr="00D430D1">
              <w:rPr>
                <w:rStyle w:val="normaltextrun"/>
                <w:rFonts w:asciiTheme="minorHAnsi" w:hAnsiTheme="minorHAnsi" w:cstheme="minorHAnsi"/>
                <w:lang w:val="ru-RU"/>
              </w:rPr>
              <w:t>Комплексный анализ требований законодательства Республики Беларусь, других регулятивных документов и методологических рекомендаций в сфере обеспечения доступности учреждений дошкольного и школьного образования для детей с инвалидностью для последующей разработки методологии и инструментария оценки</w:t>
            </w:r>
          </w:p>
        </w:tc>
        <w:tc>
          <w:tcPr>
            <w:tcW w:w="1800" w:type="dxa"/>
          </w:tcPr>
          <w:p w14:paraId="6211623A" w14:textId="77777777" w:rsidR="001170C6"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Анализ проведен</w:t>
            </w:r>
          </w:p>
          <w:p w14:paraId="4FF23A6A" w14:textId="77777777" w:rsidR="001170C6" w:rsidRPr="00D430D1"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Краткий отчет по результатам проведенного анализа представлен ЮНИСЕФ</w:t>
            </w:r>
          </w:p>
        </w:tc>
        <w:tc>
          <w:tcPr>
            <w:tcW w:w="1350" w:type="dxa"/>
          </w:tcPr>
          <w:p w14:paraId="1AB7CB34" w14:textId="77777777" w:rsidR="001170C6" w:rsidRPr="00D430D1" w:rsidRDefault="001170C6" w:rsidP="00F62BEC">
            <w:pPr>
              <w:spacing w:before="60" w:after="60" w:line="259" w:lineRule="auto"/>
              <w:rPr>
                <w:rFonts w:asciiTheme="minorHAnsi" w:hAnsiTheme="minorHAnsi" w:cstheme="minorHAnsi"/>
                <w:lang w:val="ru-RU"/>
              </w:rPr>
            </w:pPr>
            <w:r>
              <w:rPr>
                <w:rFonts w:ascii="Calibri" w:hAnsi="Calibri" w:cs="Calibri"/>
                <w:lang w:val="ru-RU"/>
              </w:rPr>
              <w:t>12</w:t>
            </w:r>
            <w:r w:rsidRPr="00526E4F">
              <w:rPr>
                <w:rFonts w:ascii="Calibri" w:hAnsi="Calibri" w:cs="Calibri"/>
              </w:rPr>
              <w:t>.0</w:t>
            </w:r>
            <w:r>
              <w:rPr>
                <w:rFonts w:ascii="Calibri" w:hAnsi="Calibri" w:cs="Calibri"/>
              </w:rPr>
              <w:t>7</w:t>
            </w:r>
            <w:r w:rsidRPr="00526E4F">
              <w:rPr>
                <w:rFonts w:ascii="Calibri" w:hAnsi="Calibri" w:cs="Calibri"/>
              </w:rPr>
              <w:t>.2024</w:t>
            </w:r>
            <w:r>
              <w:rPr>
                <w:rFonts w:ascii="Calibri" w:hAnsi="Calibri" w:cs="Calibri"/>
                <w:lang w:val="ru-RU"/>
              </w:rPr>
              <w:t xml:space="preserve"> </w:t>
            </w:r>
          </w:p>
        </w:tc>
        <w:tc>
          <w:tcPr>
            <w:tcW w:w="3056" w:type="dxa"/>
            <w:vMerge w:val="restart"/>
          </w:tcPr>
          <w:p w14:paraId="1DA63EDD" w14:textId="77777777" w:rsidR="001170C6" w:rsidRPr="00EF00D0" w:rsidRDefault="001170C6" w:rsidP="00F62BEC">
            <w:pPr>
              <w:spacing w:before="60" w:after="60" w:line="259" w:lineRule="auto"/>
              <w:rPr>
                <w:rFonts w:asciiTheme="minorHAnsi" w:hAnsiTheme="minorHAnsi" w:cstheme="minorHAnsi"/>
                <w:lang w:val="ru-RU"/>
              </w:rPr>
            </w:pPr>
          </w:p>
        </w:tc>
      </w:tr>
      <w:tr w:rsidR="001170C6" w:rsidRPr="00D430D1" w14:paraId="36FED9F7" w14:textId="77777777" w:rsidTr="001170C6">
        <w:tc>
          <w:tcPr>
            <w:tcW w:w="630" w:type="dxa"/>
            <w:vMerge/>
          </w:tcPr>
          <w:p w14:paraId="0E43F874" w14:textId="77777777" w:rsidR="001170C6" w:rsidRPr="00D430D1" w:rsidRDefault="001170C6" w:rsidP="00F62BEC">
            <w:pPr>
              <w:spacing w:before="60" w:after="60" w:line="259" w:lineRule="auto"/>
              <w:jc w:val="both"/>
              <w:rPr>
                <w:rStyle w:val="normaltextrun"/>
                <w:rFonts w:asciiTheme="minorHAnsi" w:hAnsiTheme="minorHAnsi" w:cstheme="minorHAnsi"/>
                <w:lang w:val="ru-RU"/>
              </w:rPr>
            </w:pPr>
          </w:p>
        </w:tc>
        <w:tc>
          <w:tcPr>
            <w:tcW w:w="2970" w:type="dxa"/>
          </w:tcPr>
          <w:p w14:paraId="609F32EF" w14:textId="77777777" w:rsidR="001170C6" w:rsidRPr="00D430D1" w:rsidRDefault="001170C6" w:rsidP="00F62BEC">
            <w:pPr>
              <w:spacing w:before="60" w:after="60" w:line="259" w:lineRule="auto"/>
              <w:jc w:val="both"/>
              <w:rPr>
                <w:rFonts w:asciiTheme="minorHAnsi" w:hAnsiTheme="minorHAnsi" w:cstheme="minorHAnsi"/>
                <w:lang w:val="ru-RU"/>
              </w:rPr>
            </w:pPr>
            <w:r w:rsidRPr="00D430D1">
              <w:rPr>
                <w:rStyle w:val="normaltextrun"/>
                <w:rFonts w:asciiTheme="minorHAnsi" w:hAnsiTheme="minorHAnsi" w:cstheme="minorHAnsi"/>
                <w:lang w:val="ru-RU"/>
              </w:rPr>
              <w:t xml:space="preserve">Разработка и согласование основных положений и подходов к разработке методологии и инструментария оценки доступности учреждений дошкольного и школьного образования для детей с инвалидностью с ЮНИСЕФ и </w:t>
            </w:r>
            <w:proofErr w:type="spellStart"/>
            <w:r w:rsidRPr="00D430D1">
              <w:rPr>
                <w:rStyle w:val="normaltextrun"/>
                <w:rFonts w:asciiTheme="minorHAnsi" w:hAnsiTheme="minorHAnsi" w:cstheme="minorHAnsi"/>
                <w:lang w:val="ru-RU"/>
              </w:rPr>
              <w:t>Минобром</w:t>
            </w:r>
            <w:proofErr w:type="spellEnd"/>
          </w:p>
        </w:tc>
        <w:tc>
          <w:tcPr>
            <w:tcW w:w="1800" w:type="dxa"/>
          </w:tcPr>
          <w:p w14:paraId="5671EEE3" w14:textId="77777777" w:rsidR="001170C6" w:rsidRPr="00D430D1"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 xml:space="preserve">Концепция с основными положениями и подходами к разработке методологии и инструментария оценки разработана и представлена ЮНИСЕФ и </w:t>
            </w:r>
            <w:proofErr w:type="spellStart"/>
            <w:r>
              <w:rPr>
                <w:rFonts w:asciiTheme="minorHAnsi" w:hAnsiTheme="minorHAnsi" w:cstheme="minorHAnsi"/>
                <w:lang w:val="ru-RU"/>
              </w:rPr>
              <w:t>Минобру</w:t>
            </w:r>
            <w:proofErr w:type="spellEnd"/>
          </w:p>
        </w:tc>
        <w:tc>
          <w:tcPr>
            <w:tcW w:w="1350" w:type="dxa"/>
          </w:tcPr>
          <w:p w14:paraId="6BE6622A" w14:textId="77777777" w:rsidR="001170C6" w:rsidRPr="00D430D1" w:rsidRDefault="001170C6" w:rsidP="00F62BEC">
            <w:pPr>
              <w:spacing w:before="60" w:after="60" w:line="259" w:lineRule="auto"/>
              <w:rPr>
                <w:rFonts w:asciiTheme="minorHAnsi" w:hAnsiTheme="minorHAnsi" w:cstheme="minorHAnsi"/>
                <w:lang w:val="ru-RU"/>
              </w:rPr>
            </w:pPr>
            <w:r>
              <w:rPr>
                <w:rFonts w:ascii="Calibri" w:hAnsi="Calibri" w:cs="Calibri"/>
              </w:rPr>
              <w:t>1</w:t>
            </w:r>
            <w:r>
              <w:rPr>
                <w:rFonts w:ascii="Calibri" w:hAnsi="Calibri" w:cs="Calibri"/>
                <w:lang w:val="ru-RU"/>
              </w:rPr>
              <w:t>9</w:t>
            </w:r>
            <w:r w:rsidRPr="00526E4F">
              <w:rPr>
                <w:rFonts w:ascii="Calibri" w:hAnsi="Calibri" w:cs="Calibri"/>
              </w:rPr>
              <w:t>.0</w:t>
            </w:r>
            <w:r>
              <w:rPr>
                <w:rFonts w:ascii="Calibri" w:hAnsi="Calibri" w:cs="Calibri"/>
              </w:rPr>
              <w:t>7</w:t>
            </w:r>
            <w:r w:rsidRPr="00526E4F">
              <w:rPr>
                <w:rFonts w:ascii="Calibri" w:hAnsi="Calibri" w:cs="Calibri"/>
              </w:rPr>
              <w:t>.2024</w:t>
            </w:r>
            <w:r>
              <w:rPr>
                <w:rFonts w:ascii="Calibri" w:hAnsi="Calibri" w:cs="Calibri"/>
                <w:lang w:val="ru-RU"/>
              </w:rPr>
              <w:t xml:space="preserve"> </w:t>
            </w:r>
          </w:p>
        </w:tc>
        <w:tc>
          <w:tcPr>
            <w:tcW w:w="3056" w:type="dxa"/>
            <w:vMerge/>
          </w:tcPr>
          <w:p w14:paraId="0050CE16" w14:textId="77777777" w:rsidR="001170C6" w:rsidRDefault="001170C6" w:rsidP="00F62BEC">
            <w:pPr>
              <w:spacing w:before="60" w:after="60" w:line="259" w:lineRule="auto"/>
              <w:rPr>
                <w:rFonts w:asciiTheme="minorHAnsi" w:hAnsiTheme="minorHAnsi" w:cstheme="minorHAnsi"/>
                <w:lang w:val="ru-RU"/>
              </w:rPr>
            </w:pPr>
          </w:p>
        </w:tc>
      </w:tr>
      <w:tr w:rsidR="001170C6" w:rsidRPr="00D430D1" w14:paraId="70FDF13A" w14:textId="77777777" w:rsidTr="001170C6">
        <w:tc>
          <w:tcPr>
            <w:tcW w:w="630" w:type="dxa"/>
            <w:vMerge/>
          </w:tcPr>
          <w:p w14:paraId="69FCA681" w14:textId="77777777" w:rsidR="001170C6" w:rsidRPr="00D430D1" w:rsidRDefault="001170C6" w:rsidP="00F62BEC">
            <w:pPr>
              <w:spacing w:before="60" w:after="60" w:line="259" w:lineRule="auto"/>
              <w:jc w:val="both"/>
              <w:rPr>
                <w:rStyle w:val="normaltextrun"/>
                <w:rFonts w:asciiTheme="minorHAnsi" w:hAnsiTheme="minorHAnsi" w:cstheme="minorHAnsi"/>
                <w:lang w:val="ru-RU"/>
              </w:rPr>
            </w:pPr>
          </w:p>
        </w:tc>
        <w:tc>
          <w:tcPr>
            <w:tcW w:w="2970" w:type="dxa"/>
          </w:tcPr>
          <w:p w14:paraId="1C8C9FEC" w14:textId="77777777" w:rsidR="001170C6" w:rsidRPr="00D430D1" w:rsidRDefault="001170C6" w:rsidP="00F62BEC">
            <w:pPr>
              <w:spacing w:before="60" w:after="60" w:line="259" w:lineRule="auto"/>
              <w:jc w:val="both"/>
              <w:rPr>
                <w:rFonts w:asciiTheme="minorHAnsi" w:hAnsiTheme="minorHAnsi" w:cstheme="minorHAnsi"/>
                <w:lang w:val="ru-RU"/>
              </w:rPr>
            </w:pPr>
            <w:r w:rsidRPr="00D430D1">
              <w:rPr>
                <w:rStyle w:val="normaltextrun"/>
                <w:rFonts w:asciiTheme="minorHAnsi" w:hAnsiTheme="minorHAnsi" w:cstheme="minorHAnsi"/>
                <w:lang w:val="ru-RU"/>
              </w:rPr>
              <w:t xml:space="preserve">Разработка первого варианта методологии и инструментария оценки учреждений дошкольного и школьного образования для детей с инвалидностью и их </w:t>
            </w:r>
            <w:r w:rsidRPr="00D430D1">
              <w:rPr>
                <w:rStyle w:val="normaltextrun"/>
                <w:rFonts w:asciiTheme="minorHAnsi" w:hAnsiTheme="minorHAnsi" w:cstheme="minorHAnsi"/>
                <w:lang w:val="ru-RU"/>
              </w:rPr>
              <w:lastRenderedPageBreak/>
              <w:t xml:space="preserve">согласование с ЮНИСЕФ и </w:t>
            </w:r>
            <w:proofErr w:type="spellStart"/>
            <w:r w:rsidRPr="00D430D1">
              <w:rPr>
                <w:rStyle w:val="normaltextrun"/>
                <w:rFonts w:asciiTheme="minorHAnsi" w:hAnsiTheme="minorHAnsi" w:cstheme="minorHAnsi"/>
                <w:lang w:val="ru-RU"/>
              </w:rPr>
              <w:t>Минобром</w:t>
            </w:r>
            <w:proofErr w:type="spellEnd"/>
          </w:p>
        </w:tc>
        <w:tc>
          <w:tcPr>
            <w:tcW w:w="1800" w:type="dxa"/>
          </w:tcPr>
          <w:p w14:paraId="59DFDA47" w14:textId="77777777" w:rsidR="001170C6" w:rsidRPr="00D430D1"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lastRenderedPageBreak/>
              <w:t xml:space="preserve">Первый вариант методологии и инструментария разработан и согласован с ЮНИСЕФ и </w:t>
            </w:r>
            <w:proofErr w:type="spellStart"/>
            <w:r>
              <w:rPr>
                <w:rFonts w:asciiTheme="minorHAnsi" w:hAnsiTheme="minorHAnsi" w:cstheme="minorHAnsi"/>
                <w:lang w:val="ru-RU"/>
              </w:rPr>
              <w:t>Минобром</w:t>
            </w:r>
            <w:proofErr w:type="spellEnd"/>
          </w:p>
        </w:tc>
        <w:tc>
          <w:tcPr>
            <w:tcW w:w="1350" w:type="dxa"/>
            <w:tcBorders>
              <w:top w:val="nil"/>
              <w:left w:val="nil"/>
              <w:bottom w:val="single" w:sz="4" w:space="0" w:color="auto"/>
              <w:right w:val="nil"/>
            </w:tcBorders>
            <w:shd w:val="clear" w:color="auto" w:fill="auto"/>
            <w:vAlign w:val="center"/>
          </w:tcPr>
          <w:p w14:paraId="7BC5C2CF" w14:textId="77777777" w:rsidR="001170C6" w:rsidRPr="00D430D1" w:rsidRDefault="001170C6" w:rsidP="00F62BEC">
            <w:pPr>
              <w:spacing w:before="60" w:after="60" w:line="259" w:lineRule="auto"/>
              <w:rPr>
                <w:rFonts w:asciiTheme="minorHAnsi" w:hAnsiTheme="minorHAnsi" w:cstheme="minorHAnsi"/>
                <w:lang w:val="ru-RU"/>
              </w:rPr>
            </w:pPr>
            <w:r>
              <w:rPr>
                <w:rFonts w:ascii="Calibri" w:hAnsi="Calibri" w:cs="Calibri"/>
              </w:rPr>
              <w:t>2</w:t>
            </w:r>
            <w:r>
              <w:rPr>
                <w:rFonts w:ascii="Calibri" w:hAnsi="Calibri" w:cs="Calibri"/>
                <w:lang w:val="ru-RU"/>
              </w:rPr>
              <w:t>6</w:t>
            </w:r>
            <w:r w:rsidRPr="00526E4F">
              <w:rPr>
                <w:rFonts w:ascii="Calibri" w:hAnsi="Calibri" w:cs="Calibri"/>
              </w:rPr>
              <w:t>.0</w:t>
            </w:r>
            <w:r>
              <w:rPr>
                <w:rFonts w:ascii="Calibri" w:hAnsi="Calibri" w:cs="Calibri"/>
              </w:rPr>
              <w:t>7</w:t>
            </w:r>
            <w:r w:rsidRPr="00526E4F">
              <w:rPr>
                <w:rFonts w:ascii="Calibri" w:hAnsi="Calibri" w:cs="Calibri"/>
              </w:rPr>
              <w:t>.2024</w:t>
            </w:r>
          </w:p>
        </w:tc>
        <w:tc>
          <w:tcPr>
            <w:tcW w:w="3056" w:type="dxa"/>
            <w:vMerge/>
          </w:tcPr>
          <w:p w14:paraId="6CCF8A6A" w14:textId="77777777" w:rsidR="001170C6" w:rsidRDefault="001170C6" w:rsidP="00F62BEC">
            <w:pPr>
              <w:spacing w:before="60" w:after="60" w:line="259" w:lineRule="auto"/>
              <w:rPr>
                <w:rFonts w:asciiTheme="minorHAnsi" w:hAnsiTheme="minorHAnsi" w:cstheme="minorHAnsi"/>
                <w:lang w:val="ru-RU"/>
              </w:rPr>
            </w:pPr>
          </w:p>
        </w:tc>
      </w:tr>
      <w:tr w:rsidR="001170C6" w:rsidRPr="00D430D1" w14:paraId="79108747" w14:textId="77777777" w:rsidTr="001170C6">
        <w:tc>
          <w:tcPr>
            <w:tcW w:w="630" w:type="dxa"/>
            <w:vMerge/>
          </w:tcPr>
          <w:p w14:paraId="591C2D7D" w14:textId="77777777" w:rsidR="001170C6" w:rsidRPr="00D430D1" w:rsidRDefault="001170C6" w:rsidP="00F62BEC">
            <w:pPr>
              <w:spacing w:before="60" w:after="60" w:line="259" w:lineRule="auto"/>
              <w:rPr>
                <w:rStyle w:val="normaltextrun"/>
                <w:rFonts w:asciiTheme="minorHAnsi" w:hAnsiTheme="minorHAnsi" w:cstheme="minorHAnsi"/>
                <w:lang w:val="ru-RU"/>
              </w:rPr>
            </w:pPr>
          </w:p>
        </w:tc>
        <w:tc>
          <w:tcPr>
            <w:tcW w:w="2970" w:type="dxa"/>
          </w:tcPr>
          <w:p w14:paraId="2909F226" w14:textId="77777777" w:rsidR="001170C6" w:rsidRPr="00223680" w:rsidRDefault="001170C6" w:rsidP="00F62BEC">
            <w:pPr>
              <w:spacing w:after="120" w:line="259" w:lineRule="auto"/>
              <w:jc w:val="both"/>
              <w:rPr>
                <w:rStyle w:val="normaltextrun"/>
                <w:rFonts w:asciiTheme="minorHAnsi" w:hAnsiTheme="minorHAnsi" w:cstheme="minorHAnsi"/>
                <w:lang w:val="ru-RU"/>
              </w:rPr>
            </w:pPr>
            <w:r w:rsidRPr="00223680">
              <w:rPr>
                <w:rStyle w:val="normaltextrun"/>
                <w:rFonts w:asciiTheme="minorHAnsi" w:hAnsiTheme="minorHAnsi" w:cstheme="minorHAnsi"/>
                <w:lang w:val="ru-RU"/>
              </w:rPr>
              <w:t>Апробирование разработанной методологии и инструментария оценки доступности учреждений дошкольного и школьного образования в трех учреждениях дошкольного и трех учреждениях школьного образования из числа пилотных учреждений образования, расположенных в населенных пунктах разного размера (Минск, районный центр, сельский населенный пункт.</w:t>
            </w:r>
          </w:p>
          <w:p w14:paraId="7D9B5832" w14:textId="77777777" w:rsidR="001170C6" w:rsidRPr="00D430D1" w:rsidRDefault="001170C6" w:rsidP="00F62BEC">
            <w:pPr>
              <w:spacing w:before="60" w:after="60" w:line="259" w:lineRule="auto"/>
              <w:rPr>
                <w:rFonts w:asciiTheme="minorHAnsi" w:hAnsiTheme="minorHAnsi" w:cstheme="minorHAnsi"/>
                <w:lang w:val="ru-RU"/>
              </w:rPr>
            </w:pPr>
          </w:p>
        </w:tc>
        <w:tc>
          <w:tcPr>
            <w:tcW w:w="1800" w:type="dxa"/>
          </w:tcPr>
          <w:p w14:paraId="4B935F70" w14:textId="77777777" w:rsidR="001170C6" w:rsidRPr="00D430D1"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Разработанная методология и инструменты оценки апробированы в трех дошкольных и трех школьных учреждениях образования из числа пилотных учреждений образования. Подготовлен отчет  с рекомендациями по улучшению инструментария и методологии</w:t>
            </w:r>
          </w:p>
        </w:tc>
        <w:tc>
          <w:tcPr>
            <w:tcW w:w="1350" w:type="dxa"/>
            <w:tcBorders>
              <w:top w:val="nil"/>
              <w:left w:val="nil"/>
              <w:bottom w:val="single" w:sz="4" w:space="0" w:color="auto"/>
              <w:right w:val="nil"/>
            </w:tcBorders>
            <w:shd w:val="clear" w:color="auto" w:fill="auto"/>
            <w:vAlign w:val="center"/>
          </w:tcPr>
          <w:p w14:paraId="6FC12D77" w14:textId="77777777" w:rsidR="001170C6" w:rsidRPr="00D430D1" w:rsidRDefault="001170C6" w:rsidP="00F62BEC">
            <w:pPr>
              <w:spacing w:before="60" w:after="60" w:line="259" w:lineRule="auto"/>
              <w:rPr>
                <w:rFonts w:asciiTheme="minorHAnsi" w:hAnsiTheme="minorHAnsi" w:cstheme="minorHAnsi"/>
                <w:lang w:val="ru-RU"/>
              </w:rPr>
            </w:pPr>
            <w:r>
              <w:rPr>
                <w:rFonts w:ascii="Calibri" w:hAnsi="Calibri" w:cs="Calibri"/>
                <w:lang w:val="ru-RU"/>
              </w:rPr>
              <w:t>12</w:t>
            </w:r>
            <w:r w:rsidRPr="00526E4F">
              <w:rPr>
                <w:rFonts w:ascii="Calibri" w:hAnsi="Calibri" w:cs="Calibri"/>
              </w:rPr>
              <w:t>.0</w:t>
            </w:r>
            <w:r>
              <w:rPr>
                <w:rFonts w:ascii="Calibri" w:hAnsi="Calibri" w:cs="Calibri"/>
              </w:rPr>
              <w:t>8</w:t>
            </w:r>
            <w:r w:rsidRPr="00526E4F">
              <w:rPr>
                <w:rFonts w:ascii="Calibri" w:hAnsi="Calibri" w:cs="Calibri"/>
              </w:rPr>
              <w:t>.2024</w:t>
            </w:r>
          </w:p>
        </w:tc>
        <w:tc>
          <w:tcPr>
            <w:tcW w:w="3056" w:type="dxa"/>
            <w:vMerge/>
          </w:tcPr>
          <w:p w14:paraId="60FA3001" w14:textId="77777777" w:rsidR="001170C6" w:rsidRDefault="001170C6" w:rsidP="00F62BEC">
            <w:pPr>
              <w:spacing w:before="60" w:after="60" w:line="259" w:lineRule="auto"/>
              <w:rPr>
                <w:rFonts w:asciiTheme="minorHAnsi" w:hAnsiTheme="minorHAnsi" w:cstheme="minorHAnsi"/>
                <w:lang w:val="ru-RU"/>
              </w:rPr>
            </w:pPr>
          </w:p>
        </w:tc>
      </w:tr>
      <w:tr w:rsidR="001170C6" w:rsidRPr="00D430D1" w14:paraId="1D710A19" w14:textId="77777777" w:rsidTr="001170C6">
        <w:tc>
          <w:tcPr>
            <w:tcW w:w="630" w:type="dxa"/>
            <w:vMerge w:val="restart"/>
          </w:tcPr>
          <w:p w14:paraId="0A22A4BC" w14:textId="77777777" w:rsidR="001170C6" w:rsidRDefault="001170C6" w:rsidP="00F62BEC">
            <w:pPr>
              <w:spacing w:before="60" w:after="60" w:line="259" w:lineRule="auto"/>
              <w:rPr>
                <w:rStyle w:val="normaltextrun"/>
                <w:rFonts w:asciiTheme="minorHAnsi" w:hAnsiTheme="minorHAnsi" w:cstheme="minorHAnsi"/>
                <w:lang w:val="ru-RU"/>
              </w:rPr>
            </w:pPr>
          </w:p>
        </w:tc>
        <w:tc>
          <w:tcPr>
            <w:tcW w:w="2970" w:type="dxa"/>
          </w:tcPr>
          <w:p w14:paraId="6E16702C" w14:textId="77777777" w:rsidR="001170C6" w:rsidRPr="00D430D1" w:rsidRDefault="001170C6" w:rsidP="00F62BEC">
            <w:pPr>
              <w:spacing w:before="60" w:after="60" w:line="259" w:lineRule="auto"/>
              <w:rPr>
                <w:rFonts w:asciiTheme="minorHAnsi" w:hAnsiTheme="minorHAnsi" w:cstheme="minorHAnsi"/>
                <w:lang w:val="ru-RU"/>
              </w:rPr>
            </w:pPr>
            <w:r>
              <w:rPr>
                <w:rStyle w:val="normaltextrun"/>
                <w:rFonts w:asciiTheme="minorHAnsi" w:hAnsiTheme="minorHAnsi" w:cstheme="minorHAnsi"/>
                <w:lang w:val="ru-RU"/>
              </w:rPr>
              <w:t>Подготовка отчета по результатам апробации и доработка методологии и инструментов оценки доступности учреждений дошкольного и школьного образования для детей с инвалидностью</w:t>
            </w:r>
          </w:p>
        </w:tc>
        <w:tc>
          <w:tcPr>
            <w:tcW w:w="1800" w:type="dxa"/>
          </w:tcPr>
          <w:p w14:paraId="6DDA4ACF" w14:textId="77777777" w:rsidR="001170C6"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 xml:space="preserve">Отчет по результатам апробации методологии и инструментов оценки подготовлен и представлен ЮНИСЕФ и </w:t>
            </w:r>
            <w:proofErr w:type="spellStart"/>
            <w:r>
              <w:rPr>
                <w:rFonts w:asciiTheme="minorHAnsi" w:hAnsiTheme="minorHAnsi" w:cstheme="minorHAnsi"/>
                <w:lang w:val="ru-RU"/>
              </w:rPr>
              <w:t>Минобру</w:t>
            </w:r>
            <w:proofErr w:type="spellEnd"/>
          </w:p>
          <w:p w14:paraId="6A74C6BB" w14:textId="77777777" w:rsidR="001170C6" w:rsidRPr="00D430D1"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Методология и инструменты оценки доработаны в соответствии с результатами апробации</w:t>
            </w:r>
          </w:p>
        </w:tc>
        <w:tc>
          <w:tcPr>
            <w:tcW w:w="1350" w:type="dxa"/>
            <w:tcBorders>
              <w:top w:val="nil"/>
              <w:left w:val="single" w:sz="4" w:space="0" w:color="auto"/>
              <w:bottom w:val="single" w:sz="4" w:space="0" w:color="auto"/>
              <w:right w:val="nil"/>
            </w:tcBorders>
            <w:shd w:val="clear" w:color="auto" w:fill="auto"/>
            <w:vAlign w:val="center"/>
          </w:tcPr>
          <w:p w14:paraId="1CF8E48E" w14:textId="77777777" w:rsidR="001170C6" w:rsidRPr="00D430D1" w:rsidRDefault="001170C6" w:rsidP="00F62BEC">
            <w:pPr>
              <w:spacing w:before="60" w:after="60" w:line="259" w:lineRule="auto"/>
              <w:rPr>
                <w:rFonts w:asciiTheme="minorHAnsi" w:hAnsiTheme="minorHAnsi" w:cstheme="minorHAnsi"/>
                <w:lang w:val="ru-RU"/>
              </w:rPr>
            </w:pPr>
            <w:r w:rsidRPr="00526E4F">
              <w:rPr>
                <w:rFonts w:ascii="Calibri" w:hAnsi="Calibri" w:cs="Calibri"/>
              </w:rPr>
              <w:t>1</w:t>
            </w:r>
            <w:r>
              <w:rPr>
                <w:rFonts w:ascii="Calibri" w:hAnsi="Calibri" w:cs="Calibri"/>
                <w:lang w:val="ru-RU"/>
              </w:rPr>
              <w:t>6</w:t>
            </w:r>
            <w:r w:rsidRPr="00526E4F">
              <w:rPr>
                <w:rFonts w:ascii="Calibri" w:hAnsi="Calibri" w:cs="Calibri"/>
              </w:rPr>
              <w:t>.0</w:t>
            </w:r>
            <w:r>
              <w:rPr>
                <w:rFonts w:ascii="Calibri" w:hAnsi="Calibri" w:cs="Calibri"/>
              </w:rPr>
              <w:t>8</w:t>
            </w:r>
            <w:r w:rsidRPr="00526E4F">
              <w:rPr>
                <w:rFonts w:ascii="Calibri" w:hAnsi="Calibri" w:cs="Calibri"/>
              </w:rPr>
              <w:t>.2024</w:t>
            </w:r>
          </w:p>
        </w:tc>
        <w:tc>
          <w:tcPr>
            <w:tcW w:w="3056" w:type="dxa"/>
            <w:vMerge/>
          </w:tcPr>
          <w:p w14:paraId="1364CF4A" w14:textId="77777777" w:rsidR="001170C6" w:rsidRDefault="001170C6" w:rsidP="00F62BEC">
            <w:pPr>
              <w:spacing w:before="60" w:after="60" w:line="259" w:lineRule="auto"/>
              <w:rPr>
                <w:rFonts w:asciiTheme="minorHAnsi" w:hAnsiTheme="minorHAnsi" w:cstheme="minorHAnsi"/>
                <w:lang w:val="ru-RU"/>
              </w:rPr>
            </w:pPr>
          </w:p>
        </w:tc>
      </w:tr>
      <w:tr w:rsidR="001170C6" w:rsidRPr="0042530D" w14:paraId="62D70B58" w14:textId="77777777" w:rsidTr="001170C6">
        <w:tc>
          <w:tcPr>
            <w:tcW w:w="630" w:type="dxa"/>
            <w:vMerge/>
          </w:tcPr>
          <w:p w14:paraId="149D2E1C" w14:textId="77777777" w:rsidR="001170C6" w:rsidRPr="0042530D" w:rsidRDefault="001170C6" w:rsidP="00F62BEC">
            <w:pPr>
              <w:spacing w:before="60" w:after="60" w:line="259" w:lineRule="auto"/>
              <w:rPr>
                <w:rStyle w:val="normaltextrun"/>
                <w:rFonts w:asciiTheme="minorHAnsi" w:hAnsiTheme="minorHAnsi" w:cstheme="minorHAnsi"/>
                <w:lang w:val="ru-RU"/>
              </w:rPr>
            </w:pPr>
          </w:p>
        </w:tc>
        <w:tc>
          <w:tcPr>
            <w:tcW w:w="2970" w:type="dxa"/>
          </w:tcPr>
          <w:p w14:paraId="6CFEB785" w14:textId="77777777" w:rsidR="001170C6" w:rsidRPr="0042530D" w:rsidRDefault="001170C6" w:rsidP="00F62BEC">
            <w:pPr>
              <w:spacing w:before="60" w:after="60" w:line="259" w:lineRule="auto"/>
              <w:rPr>
                <w:rFonts w:asciiTheme="minorHAnsi" w:hAnsiTheme="minorHAnsi" w:cstheme="minorHAnsi"/>
                <w:lang w:val="ru-RU"/>
              </w:rPr>
            </w:pPr>
            <w:r w:rsidRPr="0042530D">
              <w:rPr>
                <w:rStyle w:val="normaltextrun"/>
                <w:rFonts w:asciiTheme="minorHAnsi" w:hAnsiTheme="minorHAnsi" w:cstheme="minorHAnsi"/>
                <w:lang w:val="ru-RU"/>
              </w:rPr>
              <w:t xml:space="preserve">Презентация </w:t>
            </w:r>
            <w:r>
              <w:rPr>
                <w:rStyle w:val="normaltextrun"/>
                <w:rFonts w:asciiTheme="minorHAnsi" w:hAnsiTheme="minorHAnsi" w:cstheme="minorHAnsi"/>
                <w:lang w:val="ru-RU"/>
              </w:rPr>
              <w:t>до</w:t>
            </w:r>
            <w:r w:rsidRPr="0042530D">
              <w:rPr>
                <w:rStyle w:val="normaltextrun"/>
                <w:rFonts w:asciiTheme="minorHAnsi" w:hAnsiTheme="minorHAnsi" w:cstheme="minorHAnsi"/>
                <w:lang w:val="ru-RU"/>
              </w:rPr>
              <w:t>работанной методологии и инструментов оценки для ЮНИСЕФ и Мин</w:t>
            </w:r>
            <w:r>
              <w:rPr>
                <w:rStyle w:val="normaltextrun"/>
                <w:rFonts w:asciiTheme="minorHAnsi" w:hAnsiTheme="minorHAnsi" w:cstheme="minorHAnsi"/>
                <w:lang w:val="ru-RU"/>
              </w:rPr>
              <w:t xml:space="preserve">истерства </w:t>
            </w:r>
            <w:r w:rsidRPr="0042530D">
              <w:rPr>
                <w:rStyle w:val="normaltextrun"/>
                <w:rFonts w:asciiTheme="minorHAnsi" w:hAnsiTheme="minorHAnsi" w:cstheme="minorHAnsi"/>
                <w:lang w:val="ru-RU"/>
              </w:rPr>
              <w:t>обра</w:t>
            </w:r>
            <w:r>
              <w:rPr>
                <w:rStyle w:val="normaltextrun"/>
                <w:rFonts w:asciiTheme="minorHAnsi" w:hAnsiTheme="minorHAnsi" w:cstheme="minorHAnsi"/>
                <w:lang w:val="ru-RU"/>
              </w:rPr>
              <w:t>зования</w:t>
            </w:r>
          </w:p>
        </w:tc>
        <w:tc>
          <w:tcPr>
            <w:tcW w:w="1800" w:type="dxa"/>
          </w:tcPr>
          <w:p w14:paraId="02D350DF" w14:textId="77777777" w:rsidR="001170C6" w:rsidRPr="0042530D"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 xml:space="preserve">Методология и инструменты оценки презентованы ЮНИСЕФ и </w:t>
            </w:r>
            <w:proofErr w:type="spellStart"/>
            <w:r>
              <w:rPr>
                <w:rFonts w:asciiTheme="minorHAnsi" w:hAnsiTheme="minorHAnsi" w:cstheme="minorHAnsi"/>
                <w:lang w:val="ru-RU"/>
              </w:rPr>
              <w:t>Минобру</w:t>
            </w:r>
            <w:proofErr w:type="spellEnd"/>
          </w:p>
        </w:tc>
        <w:tc>
          <w:tcPr>
            <w:tcW w:w="1350" w:type="dxa"/>
            <w:tcBorders>
              <w:top w:val="nil"/>
              <w:left w:val="single" w:sz="4" w:space="0" w:color="auto"/>
              <w:bottom w:val="single" w:sz="4" w:space="0" w:color="auto"/>
              <w:right w:val="nil"/>
            </w:tcBorders>
            <w:vAlign w:val="center"/>
          </w:tcPr>
          <w:p w14:paraId="7FD22FAF" w14:textId="77777777" w:rsidR="001170C6" w:rsidRPr="0042530D"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21.0</w:t>
            </w:r>
            <w:r>
              <w:rPr>
                <w:rFonts w:asciiTheme="minorHAnsi" w:hAnsiTheme="minorHAnsi" w:cstheme="minorHAnsi"/>
              </w:rPr>
              <w:t>8</w:t>
            </w:r>
            <w:r>
              <w:rPr>
                <w:rFonts w:asciiTheme="minorHAnsi" w:hAnsiTheme="minorHAnsi" w:cstheme="minorHAnsi"/>
                <w:lang w:val="ru-RU"/>
              </w:rPr>
              <w:t>.2024</w:t>
            </w:r>
          </w:p>
        </w:tc>
        <w:tc>
          <w:tcPr>
            <w:tcW w:w="3056" w:type="dxa"/>
            <w:vMerge/>
          </w:tcPr>
          <w:p w14:paraId="3D7C4104" w14:textId="77777777" w:rsidR="001170C6" w:rsidRDefault="001170C6" w:rsidP="00F62BEC">
            <w:pPr>
              <w:spacing w:before="60" w:after="60" w:line="259" w:lineRule="auto"/>
              <w:rPr>
                <w:rFonts w:asciiTheme="minorHAnsi" w:hAnsiTheme="minorHAnsi" w:cstheme="minorHAnsi"/>
                <w:lang w:val="ru-RU"/>
              </w:rPr>
            </w:pPr>
          </w:p>
        </w:tc>
      </w:tr>
      <w:tr w:rsidR="001170C6" w:rsidRPr="00351871" w14:paraId="2B247E0D" w14:textId="77777777" w:rsidTr="001170C6">
        <w:tc>
          <w:tcPr>
            <w:tcW w:w="630" w:type="dxa"/>
            <w:vMerge w:val="restart"/>
          </w:tcPr>
          <w:p w14:paraId="6EDB2773" w14:textId="77777777" w:rsidR="001170C6" w:rsidRPr="00D430D1" w:rsidRDefault="001170C6" w:rsidP="00F62BEC">
            <w:pPr>
              <w:spacing w:before="60" w:after="60" w:line="259" w:lineRule="auto"/>
              <w:rPr>
                <w:rStyle w:val="normaltextrun"/>
                <w:rFonts w:asciiTheme="minorHAnsi" w:hAnsiTheme="minorHAnsi" w:cstheme="minorHAnsi"/>
                <w:lang w:val="ru-RU"/>
              </w:rPr>
            </w:pPr>
            <w:r>
              <w:rPr>
                <w:rStyle w:val="normaltextrun"/>
                <w:rFonts w:asciiTheme="minorHAnsi" w:hAnsiTheme="minorHAnsi" w:cstheme="minorHAnsi"/>
                <w:lang w:val="ru-RU"/>
              </w:rPr>
              <w:t>2</w:t>
            </w:r>
          </w:p>
        </w:tc>
        <w:tc>
          <w:tcPr>
            <w:tcW w:w="2970" w:type="dxa"/>
          </w:tcPr>
          <w:p w14:paraId="688569FA" w14:textId="77777777" w:rsidR="001170C6" w:rsidRPr="0042530D" w:rsidRDefault="001170C6" w:rsidP="00F62BEC">
            <w:pPr>
              <w:spacing w:after="120" w:line="259" w:lineRule="auto"/>
              <w:jc w:val="both"/>
              <w:rPr>
                <w:rFonts w:asciiTheme="minorHAnsi" w:hAnsiTheme="minorHAnsi" w:cstheme="minorHAnsi"/>
                <w:lang w:val="ru-RU"/>
              </w:rPr>
            </w:pPr>
            <w:r w:rsidRPr="00351871">
              <w:rPr>
                <w:rStyle w:val="normaltextrun"/>
                <w:rFonts w:asciiTheme="minorHAnsi" w:hAnsiTheme="minorHAnsi" w:cstheme="minorHAnsi"/>
                <w:lang w:val="ru-RU"/>
              </w:rPr>
              <w:t>Проведение 7 он-</w:t>
            </w:r>
            <w:proofErr w:type="spellStart"/>
            <w:r w:rsidRPr="00351871">
              <w:rPr>
                <w:rStyle w:val="normaltextrun"/>
                <w:rFonts w:asciiTheme="minorHAnsi" w:hAnsiTheme="minorHAnsi" w:cstheme="minorHAnsi"/>
                <w:lang w:val="ru-RU"/>
              </w:rPr>
              <w:t>лайн</w:t>
            </w:r>
            <w:proofErr w:type="spellEnd"/>
            <w:r w:rsidRPr="00351871">
              <w:rPr>
                <w:rStyle w:val="normaltextrun"/>
                <w:rFonts w:asciiTheme="minorHAnsi" w:hAnsiTheme="minorHAnsi" w:cstheme="minorHAnsi"/>
                <w:lang w:val="ru-RU"/>
              </w:rPr>
              <w:t xml:space="preserve"> презентаций и консультаций по использованию инструментов оценки доступности </w:t>
            </w:r>
          </w:p>
        </w:tc>
        <w:tc>
          <w:tcPr>
            <w:tcW w:w="1800" w:type="dxa"/>
          </w:tcPr>
          <w:p w14:paraId="613F77C1" w14:textId="77777777" w:rsidR="001170C6" w:rsidRPr="00351871" w:rsidRDefault="001170C6" w:rsidP="00F62BEC">
            <w:pPr>
              <w:spacing w:after="120" w:line="259" w:lineRule="auto"/>
              <w:jc w:val="both"/>
              <w:rPr>
                <w:rStyle w:val="normaltextrun"/>
                <w:rFonts w:asciiTheme="minorHAnsi" w:hAnsiTheme="minorHAnsi" w:cstheme="minorHAnsi"/>
                <w:lang w:val="ru-RU"/>
              </w:rPr>
            </w:pPr>
            <w:r>
              <w:rPr>
                <w:rFonts w:asciiTheme="minorHAnsi" w:hAnsiTheme="minorHAnsi" w:cstheme="minorHAnsi"/>
                <w:lang w:val="ru-RU"/>
              </w:rPr>
              <w:t>Разработана презентация и проведено 7 он-</w:t>
            </w:r>
            <w:proofErr w:type="spellStart"/>
            <w:r>
              <w:rPr>
                <w:rFonts w:asciiTheme="minorHAnsi" w:hAnsiTheme="minorHAnsi" w:cstheme="minorHAnsi"/>
                <w:lang w:val="ru-RU"/>
              </w:rPr>
              <w:t>лайн</w:t>
            </w:r>
            <w:proofErr w:type="spellEnd"/>
            <w:r>
              <w:rPr>
                <w:rFonts w:asciiTheme="minorHAnsi" w:hAnsiTheme="minorHAnsi" w:cstheme="minorHAnsi"/>
                <w:lang w:val="ru-RU"/>
              </w:rPr>
              <w:t xml:space="preserve"> консультаций длительностью не более 2часов каждая по использованию </w:t>
            </w:r>
            <w:r w:rsidRPr="00351871">
              <w:rPr>
                <w:rStyle w:val="normaltextrun"/>
                <w:rFonts w:asciiTheme="minorHAnsi" w:hAnsiTheme="minorHAnsi" w:cstheme="minorHAnsi"/>
                <w:lang w:val="ru-RU"/>
              </w:rPr>
              <w:t>инструментов оценки доступности</w:t>
            </w:r>
            <w:r w:rsidRPr="00351871">
              <w:rPr>
                <w:rFonts w:asciiTheme="minorHAnsi" w:hAnsiTheme="minorHAnsi" w:cstheme="minorHAnsi"/>
                <w:lang w:val="ru-RU"/>
              </w:rPr>
              <w:t xml:space="preserve"> </w:t>
            </w:r>
            <w:r w:rsidRPr="00351871">
              <w:rPr>
                <w:rStyle w:val="normaltextrun"/>
                <w:rFonts w:asciiTheme="minorHAnsi" w:hAnsiTheme="minorHAnsi" w:cstheme="minorHAnsi"/>
                <w:lang w:val="ru-RU"/>
              </w:rPr>
              <w:t xml:space="preserve">для  сотрудников </w:t>
            </w:r>
            <w:r w:rsidRPr="00351871">
              <w:rPr>
                <w:rStyle w:val="normaltextrun"/>
                <w:rFonts w:asciiTheme="minorHAnsi" w:hAnsiTheme="minorHAnsi" w:cstheme="minorHAnsi"/>
                <w:lang w:val="ru-RU"/>
              </w:rPr>
              <w:lastRenderedPageBreak/>
              <w:t xml:space="preserve">областных </w:t>
            </w:r>
            <w:proofErr w:type="spellStart"/>
            <w:r w:rsidRPr="00351871">
              <w:rPr>
                <w:rStyle w:val="normaltextrun"/>
                <w:rFonts w:asciiTheme="minorHAnsi" w:hAnsiTheme="minorHAnsi" w:cstheme="minorHAnsi"/>
                <w:lang w:val="ru-RU"/>
              </w:rPr>
              <w:t>ЦКРОиР</w:t>
            </w:r>
            <w:proofErr w:type="spellEnd"/>
            <w:r w:rsidRPr="00351871">
              <w:rPr>
                <w:rStyle w:val="normaltextrun"/>
                <w:rFonts w:asciiTheme="minorHAnsi" w:hAnsiTheme="minorHAnsi" w:cstheme="minorHAnsi"/>
                <w:lang w:val="ru-RU"/>
              </w:rPr>
              <w:t>,  Минского городского</w:t>
            </w:r>
            <w:r>
              <w:rPr>
                <w:rStyle w:val="normaltextrun"/>
                <w:rFonts w:asciiTheme="minorHAnsi" w:hAnsiTheme="minorHAnsi" w:cstheme="minorHAnsi"/>
                <w:lang w:val="ru-RU"/>
              </w:rPr>
              <w:t xml:space="preserve"> </w:t>
            </w:r>
            <w:proofErr w:type="spellStart"/>
            <w:r w:rsidRPr="00351871">
              <w:rPr>
                <w:rStyle w:val="normaltextrun"/>
                <w:rFonts w:asciiTheme="minorHAnsi" w:hAnsiTheme="minorHAnsi" w:cstheme="minorHAnsi"/>
                <w:lang w:val="ru-RU"/>
              </w:rPr>
              <w:t>ЦКРОиР</w:t>
            </w:r>
            <w:proofErr w:type="spellEnd"/>
            <w:r w:rsidRPr="00351871">
              <w:rPr>
                <w:rStyle w:val="normaltextrun"/>
                <w:rFonts w:asciiTheme="minorHAnsi" w:hAnsiTheme="minorHAnsi" w:cstheme="minorHAnsi"/>
                <w:lang w:val="ru-RU"/>
              </w:rPr>
              <w:t xml:space="preserve"> и представителей пилотных учреждений образования</w:t>
            </w:r>
          </w:p>
          <w:p w14:paraId="5AE22272" w14:textId="77777777" w:rsidR="001170C6" w:rsidRPr="0042530D" w:rsidRDefault="001170C6" w:rsidP="00F62BEC">
            <w:pPr>
              <w:spacing w:before="60" w:after="60" w:line="259" w:lineRule="auto"/>
              <w:rPr>
                <w:rFonts w:asciiTheme="minorHAnsi" w:hAnsiTheme="minorHAnsi" w:cstheme="minorHAnsi"/>
                <w:lang w:val="ru-RU"/>
              </w:rPr>
            </w:pPr>
          </w:p>
        </w:tc>
        <w:tc>
          <w:tcPr>
            <w:tcW w:w="1350" w:type="dxa"/>
            <w:tcBorders>
              <w:top w:val="nil"/>
              <w:left w:val="nil"/>
              <w:bottom w:val="single" w:sz="4" w:space="0" w:color="auto"/>
              <w:right w:val="nil"/>
            </w:tcBorders>
            <w:shd w:val="clear" w:color="auto" w:fill="auto"/>
            <w:vAlign w:val="center"/>
          </w:tcPr>
          <w:p w14:paraId="30504881" w14:textId="77777777" w:rsidR="001170C6" w:rsidRPr="0042530D" w:rsidRDefault="001170C6" w:rsidP="00F62BEC">
            <w:pPr>
              <w:spacing w:before="60" w:after="60" w:line="259" w:lineRule="auto"/>
              <w:rPr>
                <w:rFonts w:asciiTheme="minorHAnsi" w:hAnsiTheme="minorHAnsi" w:cstheme="minorHAnsi"/>
                <w:lang w:val="ru-RU"/>
              </w:rPr>
            </w:pPr>
            <w:proofErr w:type="spellStart"/>
            <w:r w:rsidRPr="00526E4F">
              <w:rPr>
                <w:rFonts w:ascii="Calibri" w:hAnsi="Calibri" w:cs="Calibri"/>
              </w:rPr>
              <w:lastRenderedPageBreak/>
              <w:t>До</w:t>
            </w:r>
            <w:proofErr w:type="spellEnd"/>
            <w:r w:rsidRPr="00526E4F">
              <w:rPr>
                <w:rFonts w:ascii="Calibri" w:hAnsi="Calibri" w:cs="Calibri"/>
              </w:rPr>
              <w:t xml:space="preserve"> </w:t>
            </w:r>
            <w:r>
              <w:rPr>
                <w:rFonts w:ascii="Calibri" w:hAnsi="Calibri" w:cs="Calibri"/>
                <w:lang w:val="ru-RU"/>
              </w:rPr>
              <w:t>11</w:t>
            </w:r>
            <w:r w:rsidRPr="00526E4F">
              <w:rPr>
                <w:rFonts w:ascii="Calibri" w:hAnsi="Calibri" w:cs="Calibri"/>
              </w:rPr>
              <w:t>.0</w:t>
            </w:r>
            <w:r>
              <w:rPr>
                <w:rFonts w:ascii="Calibri" w:hAnsi="Calibri" w:cs="Calibri"/>
              </w:rPr>
              <w:t>9</w:t>
            </w:r>
            <w:r w:rsidRPr="00526E4F">
              <w:rPr>
                <w:rFonts w:ascii="Calibri" w:hAnsi="Calibri" w:cs="Calibri"/>
              </w:rPr>
              <w:t>.2024</w:t>
            </w:r>
          </w:p>
        </w:tc>
        <w:tc>
          <w:tcPr>
            <w:tcW w:w="3056" w:type="dxa"/>
            <w:vMerge w:val="restart"/>
          </w:tcPr>
          <w:p w14:paraId="04AAE51F" w14:textId="77777777" w:rsidR="001170C6" w:rsidRDefault="001170C6" w:rsidP="00F62BEC">
            <w:pPr>
              <w:spacing w:before="60" w:after="60" w:line="259" w:lineRule="auto"/>
              <w:rPr>
                <w:rFonts w:asciiTheme="minorHAnsi" w:hAnsiTheme="minorHAnsi" w:cstheme="minorHAnsi"/>
                <w:lang w:val="ru-RU"/>
              </w:rPr>
            </w:pPr>
          </w:p>
        </w:tc>
      </w:tr>
      <w:tr w:rsidR="001170C6" w:rsidRPr="005B2B56" w14:paraId="3CD9F39C" w14:textId="77777777" w:rsidTr="00AF69BC">
        <w:tc>
          <w:tcPr>
            <w:tcW w:w="630" w:type="dxa"/>
            <w:vMerge/>
          </w:tcPr>
          <w:p w14:paraId="32047D82" w14:textId="77777777" w:rsidR="001170C6" w:rsidRDefault="001170C6" w:rsidP="00F62BEC">
            <w:pPr>
              <w:spacing w:before="60" w:after="60" w:line="259" w:lineRule="auto"/>
              <w:rPr>
                <w:rStyle w:val="normaltextrun"/>
                <w:rFonts w:asciiTheme="minorHAnsi" w:hAnsiTheme="minorHAnsi" w:cstheme="minorHAnsi"/>
                <w:lang w:val="ru-RU"/>
              </w:rPr>
            </w:pPr>
          </w:p>
        </w:tc>
        <w:tc>
          <w:tcPr>
            <w:tcW w:w="2970" w:type="dxa"/>
          </w:tcPr>
          <w:p w14:paraId="714FB452" w14:textId="77777777" w:rsidR="001170C6" w:rsidRPr="00351871" w:rsidRDefault="001170C6" w:rsidP="00F62BEC">
            <w:pPr>
              <w:spacing w:after="120" w:line="259" w:lineRule="auto"/>
              <w:jc w:val="both"/>
              <w:rPr>
                <w:rFonts w:asciiTheme="minorHAnsi" w:hAnsiTheme="minorHAnsi" w:cstheme="minorHAnsi"/>
                <w:lang w:val="ru-RU"/>
              </w:rPr>
            </w:pPr>
            <w:r w:rsidRPr="00351871">
              <w:rPr>
                <w:rStyle w:val="normaltextrun"/>
                <w:rFonts w:asciiTheme="minorHAnsi" w:hAnsiTheme="minorHAnsi" w:cstheme="minorHAnsi"/>
                <w:lang w:val="ru-RU"/>
              </w:rPr>
              <w:t xml:space="preserve">Координация работы  по проведению  оценки доступности 116 пилотных учреждений образования в  6 областях Республики Беларусь в сотрудничестве с областными </w:t>
            </w:r>
            <w:proofErr w:type="spellStart"/>
            <w:r w:rsidRPr="00351871">
              <w:rPr>
                <w:rStyle w:val="normaltextrun"/>
                <w:rFonts w:asciiTheme="minorHAnsi" w:hAnsiTheme="minorHAnsi" w:cstheme="minorHAnsi"/>
                <w:lang w:val="ru-RU"/>
              </w:rPr>
              <w:t>ЦКРОиР</w:t>
            </w:r>
            <w:proofErr w:type="spellEnd"/>
            <w:r w:rsidRPr="00351871">
              <w:rPr>
                <w:rStyle w:val="normaltextrun"/>
                <w:rFonts w:asciiTheme="minorHAnsi" w:hAnsiTheme="minorHAnsi" w:cstheme="minorHAnsi"/>
                <w:lang w:val="ru-RU"/>
              </w:rPr>
              <w:t xml:space="preserve">  и Минским городским </w:t>
            </w:r>
            <w:proofErr w:type="spellStart"/>
            <w:r w:rsidRPr="00351871">
              <w:rPr>
                <w:rStyle w:val="normaltextrun"/>
                <w:rFonts w:asciiTheme="minorHAnsi" w:hAnsiTheme="minorHAnsi" w:cstheme="minorHAnsi"/>
                <w:lang w:val="ru-RU"/>
              </w:rPr>
              <w:t>ЦКРОиР</w:t>
            </w:r>
            <w:proofErr w:type="spellEnd"/>
          </w:p>
        </w:tc>
        <w:tc>
          <w:tcPr>
            <w:tcW w:w="1800" w:type="dxa"/>
          </w:tcPr>
          <w:p w14:paraId="19C5B4AA" w14:textId="77777777" w:rsidR="001170C6" w:rsidRPr="0042530D"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 xml:space="preserve">График проведения   оценки доступности в каждой из 6 областей и в </w:t>
            </w:r>
            <w:proofErr w:type="spellStart"/>
            <w:r>
              <w:rPr>
                <w:rFonts w:asciiTheme="minorHAnsi" w:hAnsiTheme="minorHAnsi" w:cstheme="minorHAnsi"/>
                <w:lang w:val="ru-RU"/>
              </w:rPr>
              <w:t>г.Минске</w:t>
            </w:r>
            <w:proofErr w:type="spellEnd"/>
            <w:r>
              <w:rPr>
                <w:rFonts w:asciiTheme="minorHAnsi" w:hAnsiTheme="minorHAnsi" w:cstheme="minorHAnsi"/>
                <w:lang w:val="ru-RU"/>
              </w:rPr>
              <w:t xml:space="preserve"> составлен в координации областными </w:t>
            </w:r>
            <w:proofErr w:type="spellStart"/>
            <w:r>
              <w:rPr>
                <w:rFonts w:asciiTheme="minorHAnsi" w:hAnsiTheme="minorHAnsi" w:cstheme="minorHAnsi"/>
                <w:lang w:val="ru-RU"/>
              </w:rPr>
              <w:t>ЦКРОиР</w:t>
            </w:r>
            <w:proofErr w:type="spellEnd"/>
            <w:r>
              <w:rPr>
                <w:rFonts w:asciiTheme="minorHAnsi" w:hAnsiTheme="minorHAnsi" w:cstheme="minorHAnsi"/>
                <w:lang w:val="ru-RU"/>
              </w:rPr>
              <w:t xml:space="preserve"> и согласован в </w:t>
            </w:r>
            <w:proofErr w:type="spellStart"/>
            <w:r>
              <w:rPr>
                <w:rFonts w:asciiTheme="minorHAnsi" w:hAnsiTheme="minorHAnsi" w:cstheme="minorHAnsi"/>
                <w:lang w:val="ru-RU"/>
              </w:rPr>
              <w:t>Минобром</w:t>
            </w:r>
            <w:proofErr w:type="spellEnd"/>
            <w:r>
              <w:rPr>
                <w:rFonts w:asciiTheme="minorHAnsi" w:hAnsiTheme="minorHAnsi" w:cstheme="minorHAnsi"/>
                <w:lang w:val="ru-RU"/>
              </w:rPr>
              <w:t xml:space="preserve">   ЮНИСЕФ, регулярный мониторинг выполнения графика поведения оценки доступности проведен </w:t>
            </w:r>
          </w:p>
        </w:tc>
        <w:tc>
          <w:tcPr>
            <w:tcW w:w="1350" w:type="dxa"/>
            <w:tcBorders>
              <w:top w:val="nil"/>
              <w:left w:val="nil"/>
              <w:bottom w:val="single" w:sz="4" w:space="0" w:color="auto"/>
              <w:right w:val="nil"/>
            </w:tcBorders>
            <w:shd w:val="clear" w:color="auto" w:fill="auto"/>
            <w:vAlign w:val="center"/>
          </w:tcPr>
          <w:p w14:paraId="50B08F6F" w14:textId="77777777" w:rsidR="001170C6" w:rsidRPr="0042530D" w:rsidRDefault="001170C6" w:rsidP="00F62BEC">
            <w:pPr>
              <w:spacing w:before="60" w:after="60" w:line="259" w:lineRule="auto"/>
              <w:rPr>
                <w:rFonts w:asciiTheme="minorHAnsi" w:hAnsiTheme="minorHAnsi" w:cstheme="minorHAnsi"/>
                <w:lang w:val="ru-RU"/>
              </w:rPr>
            </w:pPr>
            <w:proofErr w:type="spellStart"/>
            <w:r w:rsidRPr="00526E4F">
              <w:rPr>
                <w:rFonts w:ascii="Calibri" w:hAnsi="Calibri" w:cs="Calibri"/>
              </w:rPr>
              <w:t>До</w:t>
            </w:r>
            <w:proofErr w:type="spellEnd"/>
            <w:r w:rsidRPr="00526E4F">
              <w:rPr>
                <w:rFonts w:ascii="Calibri" w:hAnsi="Calibri" w:cs="Calibri"/>
              </w:rPr>
              <w:t xml:space="preserve"> </w:t>
            </w:r>
            <w:r>
              <w:rPr>
                <w:rFonts w:ascii="Calibri" w:hAnsi="Calibri" w:cs="Calibri"/>
              </w:rPr>
              <w:t>2</w:t>
            </w:r>
            <w:r w:rsidRPr="00526E4F">
              <w:rPr>
                <w:rFonts w:ascii="Calibri" w:hAnsi="Calibri" w:cs="Calibri"/>
              </w:rPr>
              <w:t>.</w:t>
            </w:r>
            <w:r>
              <w:rPr>
                <w:rFonts w:ascii="Calibri" w:hAnsi="Calibri" w:cs="Calibri"/>
                <w:lang w:val="ru-RU"/>
              </w:rPr>
              <w:t>10</w:t>
            </w:r>
            <w:r w:rsidRPr="00526E4F">
              <w:rPr>
                <w:rFonts w:ascii="Calibri" w:hAnsi="Calibri" w:cs="Calibri"/>
              </w:rPr>
              <w:t>.2024</w:t>
            </w:r>
          </w:p>
        </w:tc>
        <w:tc>
          <w:tcPr>
            <w:tcW w:w="3056" w:type="dxa"/>
            <w:vMerge/>
          </w:tcPr>
          <w:p w14:paraId="207B7F93" w14:textId="77777777" w:rsidR="001170C6" w:rsidRPr="0042530D" w:rsidRDefault="001170C6" w:rsidP="00F62BEC">
            <w:pPr>
              <w:spacing w:before="60" w:after="60" w:line="259" w:lineRule="auto"/>
              <w:rPr>
                <w:rFonts w:asciiTheme="minorHAnsi" w:hAnsiTheme="minorHAnsi" w:cstheme="minorHAnsi"/>
                <w:lang w:val="ru-RU"/>
              </w:rPr>
            </w:pPr>
          </w:p>
        </w:tc>
      </w:tr>
      <w:tr w:rsidR="001170C6" w:rsidRPr="005B2B56" w14:paraId="6F773765" w14:textId="77777777" w:rsidTr="00AF69BC">
        <w:tc>
          <w:tcPr>
            <w:tcW w:w="630" w:type="dxa"/>
          </w:tcPr>
          <w:p w14:paraId="10636CE9" w14:textId="77777777" w:rsidR="001170C6" w:rsidRDefault="001170C6" w:rsidP="00F62BEC">
            <w:pPr>
              <w:spacing w:before="60" w:after="60" w:line="259" w:lineRule="auto"/>
              <w:rPr>
                <w:rStyle w:val="normaltextrun"/>
                <w:rFonts w:asciiTheme="minorHAnsi" w:hAnsiTheme="minorHAnsi" w:cstheme="minorHAnsi"/>
                <w:lang w:val="ru-RU"/>
              </w:rPr>
            </w:pPr>
            <w:r>
              <w:rPr>
                <w:rStyle w:val="normaltextrun"/>
                <w:rFonts w:asciiTheme="minorHAnsi" w:hAnsiTheme="minorHAnsi" w:cstheme="minorHAnsi"/>
                <w:lang w:val="ru-RU"/>
              </w:rPr>
              <w:t>3</w:t>
            </w:r>
          </w:p>
        </w:tc>
        <w:tc>
          <w:tcPr>
            <w:tcW w:w="2970" w:type="dxa"/>
          </w:tcPr>
          <w:p w14:paraId="5155D3D3" w14:textId="77777777" w:rsidR="001170C6" w:rsidRPr="00351871" w:rsidRDefault="001170C6" w:rsidP="00F62BEC">
            <w:pPr>
              <w:spacing w:after="120" w:line="259" w:lineRule="auto"/>
              <w:jc w:val="both"/>
              <w:rPr>
                <w:rStyle w:val="normaltextrun"/>
                <w:rFonts w:asciiTheme="minorHAnsi" w:hAnsiTheme="minorHAnsi" w:cstheme="minorHAnsi"/>
                <w:lang w:val="ru-RU"/>
              </w:rPr>
            </w:pPr>
            <w:r w:rsidRPr="00351871">
              <w:rPr>
                <w:rStyle w:val="normaltextrun"/>
                <w:rFonts w:asciiTheme="minorHAnsi" w:hAnsiTheme="minorHAnsi" w:cstheme="minorHAnsi"/>
                <w:lang w:val="ru-RU"/>
              </w:rPr>
              <w:t>Анализ отчетов оценки доступности пилотных учреждений образования по каждой  из 6  областей</w:t>
            </w:r>
            <w:r>
              <w:rPr>
                <w:rStyle w:val="normaltextrun"/>
                <w:rFonts w:asciiTheme="minorHAnsi" w:hAnsiTheme="minorHAnsi" w:cstheme="minorHAnsi"/>
                <w:lang w:val="ru-RU"/>
              </w:rPr>
              <w:t xml:space="preserve"> и  </w:t>
            </w:r>
            <w:r w:rsidRPr="00351871">
              <w:rPr>
                <w:rStyle w:val="normaltextrun"/>
                <w:rFonts w:asciiTheme="minorHAnsi" w:hAnsiTheme="minorHAnsi" w:cstheme="minorHAnsi"/>
                <w:lang w:val="ru-RU"/>
              </w:rPr>
              <w:t>списков</w:t>
            </w:r>
            <w:r>
              <w:rPr>
                <w:rStyle w:val="normaltextrun"/>
                <w:rFonts w:asciiTheme="minorHAnsi" w:hAnsiTheme="minorHAnsi" w:cstheme="minorHAnsi"/>
                <w:lang w:val="ru-RU"/>
              </w:rPr>
              <w:t xml:space="preserve"> необходимого оборудования для обеспечения доступности</w:t>
            </w:r>
            <w:r w:rsidRPr="00351871">
              <w:rPr>
                <w:rStyle w:val="normaltextrun"/>
                <w:rFonts w:asciiTheme="minorHAnsi" w:hAnsiTheme="minorHAnsi" w:cstheme="minorHAnsi"/>
                <w:lang w:val="ru-RU"/>
              </w:rPr>
              <w:t>,</w:t>
            </w:r>
            <w:r>
              <w:rPr>
                <w:rStyle w:val="normaltextrun"/>
                <w:rFonts w:asciiTheme="minorHAnsi" w:hAnsiTheme="minorHAnsi" w:cstheme="minorHAnsi"/>
                <w:lang w:val="ru-RU"/>
              </w:rPr>
              <w:t xml:space="preserve"> подготовленных областными </w:t>
            </w:r>
            <w:proofErr w:type="spellStart"/>
            <w:r>
              <w:rPr>
                <w:rStyle w:val="normaltextrun"/>
                <w:rFonts w:asciiTheme="minorHAnsi" w:hAnsiTheme="minorHAnsi" w:cstheme="minorHAnsi"/>
                <w:lang w:val="ru-RU"/>
              </w:rPr>
              <w:t>ЦКРОиР</w:t>
            </w:r>
            <w:proofErr w:type="spellEnd"/>
            <w:r w:rsidRPr="000166F4">
              <w:rPr>
                <w:rStyle w:val="normaltextrun"/>
                <w:rFonts w:asciiTheme="minorHAnsi" w:hAnsiTheme="minorHAnsi" w:cstheme="minorHAnsi"/>
                <w:lang w:val="ru-RU"/>
              </w:rPr>
              <w:t xml:space="preserve">. </w:t>
            </w:r>
            <w:r>
              <w:rPr>
                <w:rStyle w:val="normaltextrun"/>
                <w:rFonts w:asciiTheme="minorHAnsi" w:hAnsiTheme="minorHAnsi" w:cstheme="minorHAnsi"/>
                <w:lang w:val="ru-RU"/>
              </w:rPr>
              <w:t xml:space="preserve">Подготовка консолидированного списка оборудования для проведения закупок </w:t>
            </w:r>
            <w:r w:rsidRPr="00351871">
              <w:rPr>
                <w:rStyle w:val="normaltextrun"/>
                <w:rFonts w:asciiTheme="minorHAnsi" w:hAnsiTheme="minorHAnsi" w:cstheme="minorHAnsi"/>
                <w:lang w:val="ru-RU"/>
              </w:rPr>
              <w:t xml:space="preserve">  </w:t>
            </w:r>
          </w:p>
          <w:p w14:paraId="64AC33CC" w14:textId="77777777" w:rsidR="001170C6" w:rsidRPr="0042530D" w:rsidRDefault="001170C6" w:rsidP="00F62BEC">
            <w:pPr>
              <w:spacing w:before="60" w:after="60" w:line="259" w:lineRule="auto"/>
              <w:rPr>
                <w:rFonts w:asciiTheme="minorHAnsi" w:hAnsiTheme="minorHAnsi" w:cstheme="minorHAnsi"/>
                <w:lang w:val="ru-RU"/>
              </w:rPr>
            </w:pPr>
          </w:p>
        </w:tc>
        <w:tc>
          <w:tcPr>
            <w:tcW w:w="1800" w:type="dxa"/>
          </w:tcPr>
          <w:p w14:paraId="3D4BF366" w14:textId="77777777" w:rsidR="001170C6"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 xml:space="preserve">Отчеты оценки доступности пилотных УОСО и УДО,   предоставленные областными </w:t>
            </w:r>
            <w:proofErr w:type="spellStart"/>
            <w:r>
              <w:rPr>
                <w:rFonts w:asciiTheme="minorHAnsi" w:hAnsiTheme="minorHAnsi" w:cstheme="minorHAnsi"/>
                <w:lang w:val="ru-RU"/>
              </w:rPr>
              <w:t>ЦКРОиР</w:t>
            </w:r>
            <w:proofErr w:type="spellEnd"/>
            <w:r>
              <w:rPr>
                <w:rFonts w:asciiTheme="minorHAnsi" w:hAnsiTheme="minorHAnsi" w:cstheme="minorHAnsi"/>
                <w:lang w:val="ru-RU"/>
              </w:rPr>
              <w:t xml:space="preserve"> и </w:t>
            </w:r>
            <w:proofErr w:type="spellStart"/>
            <w:r>
              <w:rPr>
                <w:rFonts w:asciiTheme="minorHAnsi" w:hAnsiTheme="minorHAnsi" w:cstheme="minorHAnsi"/>
                <w:lang w:val="ru-RU"/>
              </w:rPr>
              <w:t>ЦКРОиР</w:t>
            </w:r>
            <w:proofErr w:type="spellEnd"/>
            <w:r>
              <w:rPr>
                <w:rFonts w:asciiTheme="minorHAnsi" w:hAnsiTheme="minorHAnsi" w:cstheme="minorHAnsi"/>
                <w:lang w:val="ru-RU"/>
              </w:rPr>
              <w:t xml:space="preserve"> </w:t>
            </w:r>
            <w:proofErr w:type="spellStart"/>
            <w:r>
              <w:rPr>
                <w:rFonts w:asciiTheme="minorHAnsi" w:hAnsiTheme="minorHAnsi" w:cstheme="minorHAnsi"/>
                <w:lang w:val="ru-RU"/>
              </w:rPr>
              <w:t>г.Минска</w:t>
            </w:r>
            <w:proofErr w:type="spellEnd"/>
            <w:r>
              <w:rPr>
                <w:rFonts w:asciiTheme="minorHAnsi" w:hAnsiTheme="minorHAnsi" w:cstheme="minorHAnsi"/>
                <w:lang w:val="ru-RU"/>
              </w:rPr>
              <w:t xml:space="preserve"> проверены и предоставлены ЮНИСЕФ</w:t>
            </w:r>
          </w:p>
          <w:p w14:paraId="25C5652D" w14:textId="77777777" w:rsidR="001170C6" w:rsidRPr="0042530D" w:rsidRDefault="001170C6" w:rsidP="00F62BEC">
            <w:pPr>
              <w:spacing w:before="60" w:after="60" w:line="259" w:lineRule="auto"/>
              <w:rPr>
                <w:rFonts w:asciiTheme="minorHAnsi" w:hAnsiTheme="minorHAnsi" w:cstheme="minorHAnsi"/>
                <w:lang w:val="ru-RU"/>
              </w:rPr>
            </w:pPr>
            <w:r>
              <w:rPr>
                <w:rFonts w:asciiTheme="minorHAnsi" w:hAnsiTheme="minorHAnsi" w:cstheme="minorHAnsi"/>
                <w:lang w:val="ru-RU"/>
              </w:rPr>
              <w:t>Списки оборудования для  обеспечения доступности</w:t>
            </w:r>
            <w:r w:rsidRPr="00FC729D">
              <w:rPr>
                <w:rFonts w:asciiTheme="minorHAnsi" w:hAnsiTheme="minorHAnsi" w:cstheme="minorHAnsi"/>
                <w:lang w:val="ru-RU"/>
              </w:rPr>
              <w:t xml:space="preserve"> </w:t>
            </w:r>
            <w:r>
              <w:rPr>
                <w:rFonts w:asciiTheme="minorHAnsi" w:hAnsiTheme="minorHAnsi" w:cstheme="minorHAnsi"/>
                <w:lang w:val="ru-RU"/>
              </w:rPr>
              <w:t xml:space="preserve">пилотных УОДО и УОСО по каждой области и по </w:t>
            </w:r>
            <w:proofErr w:type="spellStart"/>
            <w:r>
              <w:rPr>
                <w:rFonts w:asciiTheme="minorHAnsi" w:hAnsiTheme="minorHAnsi" w:cstheme="minorHAnsi"/>
                <w:lang w:val="ru-RU"/>
              </w:rPr>
              <w:t>г.Минску</w:t>
            </w:r>
            <w:proofErr w:type="spellEnd"/>
            <w:r>
              <w:rPr>
                <w:rFonts w:asciiTheme="minorHAnsi" w:hAnsiTheme="minorHAnsi" w:cstheme="minorHAnsi"/>
                <w:lang w:val="ru-RU"/>
              </w:rPr>
              <w:t xml:space="preserve"> предоставлены в ЮНИСЕФ</w:t>
            </w:r>
          </w:p>
        </w:tc>
        <w:tc>
          <w:tcPr>
            <w:tcW w:w="1350" w:type="dxa"/>
            <w:tcBorders>
              <w:top w:val="single" w:sz="4" w:space="0" w:color="auto"/>
              <w:left w:val="nil"/>
              <w:bottom w:val="single" w:sz="4" w:space="0" w:color="auto"/>
              <w:right w:val="nil"/>
            </w:tcBorders>
            <w:shd w:val="clear" w:color="auto" w:fill="auto"/>
            <w:vAlign w:val="center"/>
          </w:tcPr>
          <w:p w14:paraId="20C73003" w14:textId="77777777" w:rsidR="001170C6" w:rsidRPr="001170C6" w:rsidRDefault="001170C6" w:rsidP="00F62BEC">
            <w:pPr>
              <w:spacing w:before="60" w:after="60" w:line="259" w:lineRule="auto"/>
              <w:rPr>
                <w:rFonts w:ascii="Calibri" w:hAnsi="Calibri" w:cs="Calibri"/>
                <w:lang w:val="ru-RU"/>
              </w:rPr>
            </w:pPr>
          </w:p>
          <w:p w14:paraId="1489B391" w14:textId="77777777" w:rsidR="001170C6" w:rsidRPr="001170C6" w:rsidRDefault="001170C6" w:rsidP="00F62BEC">
            <w:pPr>
              <w:spacing w:before="60" w:after="60" w:line="259" w:lineRule="auto"/>
              <w:rPr>
                <w:rFonts w:ascii="Calibri" w:hAnsi="Calibri" w:cs="Calibri"/>
                <w:lang w:val="ru-RU"/>
              </w:rPr>
            </w:pPr>
          </w:p>
          <w:p w14:paraId="01BA784D" w14:textId="77777777" w:rsidR="001170C6" w:rsidRPr="001170C6" w:rsidRDefault="001170C6" w:rsidP="00F62BEC">
            <w:pPr>
              <w:spacing w:before="60" w:after="60" w:line="259" w:lineRule="auto"/>
              <w:rPr>
                <w:rFonts w:ascii="Calibri" w:hAnsi="Calibri" w:cs="Calibri"/>
                <w:lang w:val="ru-RU"/>
              </w:rPr>
            </w:pPr>
          </w:p>
          <w:p w14:paraId="69A5E568" w14:textId="77777777" w:rsidR="001170C6" w:rsidRDefault="001170C6" w:rsidP="00F62BEC">
            <w:pPr>
              <w:spacing w:before="60" w:after="60" w:line="259" w:lineRule="auto"/>
              <w:rPr>
                <w:rFonts w:asciiTheme="minorHAnsi" w:hAnsiTheme="minorHAnsi" w:cstheme="minorHAnsi"/>
                <w:lang w:val="ru-RU"/>
              </w:rPr>
            </w:pPr>
          </w:p>
          <w:p w14:paraId="1C5EB2E8" w14:textId="77777777" w:rsidR="001170C6" w:rsidRDefault="001170C6" w:rsidP="00F62BEC">
            <w:pPr>
              <w:spacing w:before="60" w:after="60" w:line="259" w:lineRule="auto"/>
              <w:rPr>
                <w:rFonts w:asciiTheme="minorHAnsi" w:hAnsiTheme="minorHAnsi" w:cstheme="minorHAnsi"/>
                <w:lang w:val="ru-RU"/>
              </w:rPr>
            </w:pPr>
          </w:p>
          <w:p w14:paraId="78023CE1" w14:textId="77777777" w:rsidR="001170C6" w:rsidRDefault="001170C6" w:rsidP="00F62BEC">
            <w:pPr>
              <w:spacing w:before="60" w:after="60" w:line="259" w:lineRule="auto"/>
              <w:rPr>
                <w:rFonts w:asciiTheme="minorHAnsi" w:hAnsiTheme="minorHAnsi" w:cstheme="minorHAnsi"/>
                <w:lang w:val="ru-RU"/>
              </w:rPr>
            </w:pPr>
          </w:p>
          <w:p w14:paraId="08E67256" w14:textId="77777777" w:rsidR="001170C6" w:rsidRDefault="001170C6" w:rsidP="00F62BEC">
            <w:pPr>
              <w:spacing w:before="60" w:after="60" w:line="259" w:lineRule="auto"/>
              <w:rPr>
                <w:rFonts w:asciiTheme="minorHAnsi" w:hAnsiTheme="minorHAnsi" w:cstheme="minorHAnsi"/>
                <w:lang w:val="ru-RU"/>
              </w:rPr>
            </w:pPr>
          </w:p>
          <w:p w14:paraId="0BBD049E" w14:textId="77777777" w:rsidR="001170C6" w:rsidRDefault="001170C6" w:rsidP="00F62BEC">
            <w:pPr>
              <w:spacing w:before="60" w:after="60" w:line="259" w:lineRule="auto"/>
              <w:rPr>
                <w:rFonts w:asciiTheme="minorHAnsi" w:hAnsiTheme="minorHAnsi" w:cstheme="minorHAnsi"/>
                <w:lang w:val="ru-RU"/>
              </w:rPr>
            </w:pPr>
          </w:p>
          <w:p w14:paraId="6D66DDCA" w14:textId="77777777" w:rsidR="001170C6" w:rsidRDefault="001170C6" w:rsidP="00F62BEC">
            <w:pPr>
              <w:spacing w:before="60" w:after="60" w:line="259" w:lineRule="auto"/>
              <w:rPr>
                <w:rFonts w:asciiTheme="minorHAnsi" w:hAnsiTheme="minorHAnsi" w:cstheme="minorHAnsi"/>
                <w:lang w:val="ru-RU"/>
              </w:rPr>
            </w:pPr>
          </w:p>
          <w:p w14:paraId="1E5777A9" w14:textId="77777777" w:rsidR="001170C6" w:rsidRDefault="001170C6" w:rsidP="00F62BEC">
            <w:pPr>
              <w:spacing w:before="60" w:after="60" w:line="259" w:lineRule="auto"/>
              <w:rPr>
                <w:rFonts w:asciiTheme="minorHAnsi" w:hAnsiTheme="minorHAnsi" w:cstheme="minorHAnsi"/>
                <w:lang w:val="ru-RU"/>
              </w:rPr>
            </w:pPr>
          </w:p>
          <w:p w14:paraId="1C9649D1" w14:textId="77777777" w:rsidR="001170C6" w:rsidRDefault="001170C6" w:rsidP="00F62BEC">
            <w:pPr>
              <w:spacing w:before="60" w:after="60" w:line="259" w:lineRule="auto"/>
              <w:rPr>
                <w:rFonts w:asciiTheme="minorHAnsi" w:hAnsiTheme="minorHAnsi" w:cstheme="minorHAnsi"/>
                <w:lang w:val="ru-RU"/>
              </w:rPr>
            </w:pPr>
            <w:r w:rsidRPr="00526E4F">
              <w:rPr>
                <w:rFonts w:ascii="Calibri" w:hAnsi="Calibri" w:cs="Calibri"/>
              </w:rPr>
              <w:t>10.10.2024</w:t>
            </w:r>
          </w:p>
          <w:p w14:paraId="4C9A8BF9" w14:textId="77777777" w:rsidR="001170C6" w:rsidRPr="0042530D" w:rsidRDefault="001170C6" w:rsidP="00F62BEC">
            <w:pPr>
              <w:spacing w:before="60" w:after="60" w:line="259" w:lineRule="auto"/>
              <w:rPr>
                <w:rFonts w:asciiTheme="minorHAnsi" w:hAnsiTheme="minorHAnsi" w:cstheme="minorHAnsi"/>
                <w:lang w:val="ru-RU"/>
              </w:rPr>
            </w:pPr>
          </w:p>
        </w:tc>
        <w:tc>
          <w:tcPr>
            <w:tcW w:w="3056" w:type="dxa"/>
          </w:tcPr>
          <w:p w14:paraId="0BC0688A" w14:textId="77777777" w:rsidR="001170C6" w:rsidRPr="00B42768" w:rsidRDefault="001170C6" w:rsidP="00F62BEC">
            <w:pPr>
              <w:spacing w:before="60" w:after="60" w:line="259" w:lineRule="auto"/>
              <w:rPr>
                <w:rFonts w:asciiTheme="minorHAnsi" w:hAnsiTheme="minorHAnsi" w:cstheme="minorHAnsi"/>
                <w:lang w:val="ru-RU"/>
              </w:rPr>
            </w:pPr>
          </w:p>
        </w:tc>
      </w:tr>
      <w:tr w:rsidR="00AF69BC" w:rsidRPr="005B2B56" w14:paraId="497070D2" w14:textId="77777777" w:rsidTr="00992F01">
        <w:tc>
          <w:tcPr>
            <w:tcW w:w="6750" w:type="dxa"/>
            <w:gridSpan w:val="4"/>
          </w:tcPr>
          <w:p w14:paraId="381E983E" w14:textId="319C7BF6" w:rsidR="00AF69BC" w:rsidRPr="00AF69BC" w:rsidRDefault="00AF69BC" w:rsidP="00F62BEC">
            <w:pPr>
              <w:spacing w:before="60" w:after="60" w:line="259" w:lineRule="auto"/>
              <w:rPr>
                <w:rFonts w:ascii="Calibri" w:hAnsi="Calibri" w:cs="Calibri"/>
                <w:lang w:val="ru-RU"/>
              </w:rPr>
            </w:pPr>
            <w:r>
              <w:rPr>
                <w:rFonts w:ascii="Calibri" w:hAnsi="Calibri" w:cs="Calibri"/>
                <w:lang w:val="ru-RU"/>
              </w:rPr>
              <w:t>Общая сумма гонорара за выполнение работ:</w:t>
            </w:r>
          </w:p>
        </w:tc>
        <w:tc>
          <w:tcPr>
            <w:tcW w:w="3056" w:type="dxa"/>
            <w:tcBorders>
              <w:bottom w:val="single" w:sz="4" w:space="0" w:color="auto"/>
            </w:tcBorders>
          </w:tcPr>
          <w:p w14:paraId="08C35A6B" w14:textId="06B5819C" w:rsidR="00AF69BC" w:rsidRPr="00AF69BC" w:rsidRDefault="00AF69BC" w:rsidP="00F62BEC">
            <w:pPr>
              <w:spacing w:before="60" w:after="60" w:line="259" w:lineRule="auto"/>
              <w:rPr>
                <w:rFonts w:asciiTheme="minorHAnsi" w:hAnsiTheme="minorHAnsi" w:cstheme="minorHAnsi"/>
                <w:lang w:val="en-US"/>
              </w:rPr>
            </w:pPr>
            <w:r>
              <w:rPr>
                <w:rFonts w:asciiTheme="minorHAnsi" w:hAnsiTheme="minorHAnsi" w:cstheme="minorHAnsi"/>
                <w:lang w:val="en-US"/>
              </w:rPr>
              <w:t>USD …</w:t>
            </w:r>
          </w:p>
        </w:tc>
      </w:tr>
      <w:tr w:rsidR="00AF69BC" w:rsidRPr="005B2B56" w14:paraId="0F979B30" w14:textId="77777777" w:rsidTr="002E4091">
        <w:tc>
          <w:tcPr>
            <w:tcW w:w="6750" w:type="dxa"/>
            <w:gridSpan w:val="4"/>
          </w:tcPr>
          <w:p w14:paraId="62D1D7DE" w14:textId="77777777" w:rsidR="00AF69BC" w:rsidRDefault="00AF69BC" w:rsidP="00F62BEC">
            <w:pPr>
              <w:spacing w:before="60" w:after="60" w:line="259" w:lineRule="auto"/>
              <w:rPr>
                <w:rFonts w:ascii="Calibri" w:hAnsi="Calibri" w:cs="Calibri"/>
                <w:lang w:val="ru-RU"/>
              </w:rPr>
            </w:pPr>
            <w:r>
              <w:rPr>
                <w:rFonts w:ascii="Calibri" w:hAnsi="Calibri" w:cs="Calibri"/>
                <w:lang w:val="ru-RU"/>
              </w:rPr>
              <w:t>Предполагаемая сумма за поездки в рамах ТЗ*</w:t>
            </w:r>
          </w:p>
          <w:p w14:paraId="35E73A56" w14:textId="0872DD05" w:rsidR="00AF69BC" w:rsidRPr="001170C6" w:rsidRDefault="00AF69BC" w:rsidP="00F62BEC">
            <w:pPr>
              <w:spacing w:before="60" w:after="60" w:line="259" w:lineRule="auto"/>
              <w:rPr>
                <w:rFonts w:ascii="Calibri" w:hAnsi="Calibri" w:cs="Calibri"/>
                <w:lang w:val="ru-RU"/>
              </w:rPr>
            </w:pPr>
            <w:r>
              <w:rPr>
                <w:rFonts w:ascii="Calibri" w:hAnsi="Calibri" w:cs="Calibri"/>
                <w:lang w:val="ru-RU"/>
              </w:rPr>
              <w:lastRenderedPageBreak/>
              <w:t>*</w:t>
            </w:r>
            <w:r w:rsidRPr="00AF69BC">
              <w:rPr>
                <w:lang w:val="ru-RU"/>
              </w:rPr>
              <w:t xml:space="preserve"> </w:t>
            </w:r>
            <w:r w:rsidRPr="00AF69BC">
              <w:rPr>
                <w:rFonts w:ascii="Calibri" w:hAnsi="Calibri" w:cs="Calibri"/>
                <w:lang w:val="ru-RU"/>
              </w:rPr>
              <w:t>Оплата расходов на поездки в области будет осуществляться после завершения первого и второго этапа апробации методологии и инструментов в учреждениях дошкольного и школьного образования в областях</w:t>
            </w:r>
          </w:p>
        </w:tc>
        <w:tc>
          <w:tcPr>
            <w:tcW w:w="3056" w:type="dxa"/>
            <w:tcBorders>
              <w:top w:val="single" w:sz="4" w:space="0" w:color="auto"/>
            </w:tcBorders>
          </w:tcPr>
          <w:p w14:paraId="02B5B2C3" w14:textId="1D140F1B" w:rsidR="00AF69BC" w:rsidRPr="00AF69BC" w:rsidRDefault="00AF69BC" w:rsidP="00F62BEC">
            <w:pPr>
              <w:spacing w:before="60" w:after="60" w:line="259" w:lineRule="auto"/>
              <w:rPr>
                <w:rFonts w:asciiTheme="minorHAnsi" w:hAnsiTheme="minorHAnsi" w:cstheme="minorHAnsi"/>
                <w:lang w:val="en-US"/>
              </w:rPr>
            </w:pPr>
            <w:r>
              <w:rPr>
                <w:rFonts w:asciiTheme="minorHAnsi" w:hAnsiTheme="minorHAnsi" w:cstheme="minorHAnsi"/>
                <w:lang w:val="en-US"/>
              </w:rPr>
              <w:lastRenderedPageBreak/>
              <w:t>USD …</w:t>
            </w:r>
          </w:p>
        </w:tc>
      </w:tr>
    </w:tbl>
    <w:p w14:paraId="4DC34167" w14:textId="77777777" w:rsidR="001170C6" w:rsidRDefault="001170C6" w:rsidP="001142CC">
      <w:pPr>
        <w:rPr>
          <w:rFonts w:asciiTheme="minorHAnsi" w:hAnsiTheme="minorHAnsi" w:cstheme="minorHAnsi"/>
          <w:sz w:val="22"/>
          <w:szCs w:val="22"/>
        </w:rPr>
      </w:pPr>
    </w:p>
    <w:p w14:paraId="5C501A35" w14:textId="77777777" w:rsidR="001170C6" w:rsidRPr="00392F18" w:rsidRDefault="001170C6"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C889749"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r w:rsidR="00122C5D">
              <w:rPr>
                <w:rFonts w:asciiTheme="minorHAnsi" w:hAnsiTheme="minorHAnsi" w:cstheme="minorHAnsi"/>
                <w:b/>
                <w:bCs/>
                <w:sz w:val="22"/>
                <w:szCs w:val="22"/>
              </w:rPr>
              <w:t>*</w:t>
            </w:r>
          </w:p>
        </w:tc>
      </w:tr>
      <w:tr w:rsidR="002607BB" w:rsidRPr="00392F18" w14:paraId="4A0BB404" w14:textId="77777777" w:rsidTr="0007738D">
        <w:trPr>
          <w:trHeight w:val="872"/>
        </w:trPr>
        <w:tc>
          <w:tcPr>
            <w:tcW w:w="10619" w:type="dxa"/>
          </w:tcPr>
          <w:p w14:paraId="10100FAD" w14:textId="77777777" w:rsidR="00EA4881" w:rsidRPr="002629B4" w:rsidRDefault="00EA4881" w:rsidP="00F95C43">
            <w:pPr>
              <w:pStyle w:val="NormalWeb"/>
              <w:spacing w:before="0" w:beforeAutospacing="0" w:after="0" w:afterAutospacing="0"/>
              <w:jc w:val="both"/>
              <w:rPr>
                <w:rFonts w:asciiTheme="minorHAnsi" w:hAnsiTheme="minorHAnsi" w:cstheme="minorHAnsi"/>
                <w:sz w:val="22"/>
                <w:szCs w:val="22"/>
                <w:lang w:val="ru-RU"/>
              </w:rPr>
            </w:pPr>
          </w:p>
          <w:p w14:paraId="0B11BC4E" w14:textId="62D5C7A3" w:rsidR="00EA4881" w:rsidRPr="002629B4" w:rsidRDefault="00EA4881" w:rsidP="00EA4881">
            <w:pPr>
              <w:pStyle w:val="NormalWeb"/>
              <w:jc w:val="both"/>
              <w:rPr>
                <w:rFonts w:asciiTheme="minorHAnsi" w:hAnsiTheme="minorHAnsi" w:cstheme="minorHAnsi"/>
                <w:sz w:val="22"/>
                <w:szCs w:val="22"/>
                <w:lang w:val="ru-RU"/>
              </w:rPr>
            </w:pPr>
            <w:r w:rsidRPr="002629B4">
              <w:rPr>
                <w:rFonts w:asciiTheme="minorHAnsi" w:hAnsiTheme="minorHAnsi" w:cstheme="minorHAnsi"/>
                <w:sz w:val="22"/>
                <w:szCs w:val="22"/>
                <w:lang w:val="ru-RU"/>
              </w:rPr>
              <w:t>Финансовое предложение должно быть выполнено  с использованием шаблона финансового предложения и включать :</w:t>
            </w:r>
          </w:p>
          <w:p w14:paraId="4271A10D" w14:textId="6960A4AE" w:rsidR="00EA4881" w:rsidRPr="002629B4" w:rsidRDefault="00EA4881" w:rsidP="00EA4881">
            <w:pPr>
              <w:pStyle w:val="NormalWeb"/>
              <w:jc w:val="both"/>
              <w:rPr>
                <w:rFonts w:asciiTheme="minorHAnsi" w:hAnsiTheme="minorHAnsi" w:cstheme="minorHAnsi"/>
                <w:sz w:val="22"/>
                <w:szCs w:val="22"/>
                <w:lang w:val="ru-RU"/>
              </w:rPr>
            </w:pPr>
            <w:r w:rsidRPr="002629B4">
              <w:rPr>
                <w:rFonts w:asciiTheme="minorHAnsi" w:hAnsiTheme="minorHAnsi" w:cstheme="minorHAnsi"/>
                <w:sz w:val="22"/>
                <w:szCs w:val="22"/>
                <w:lang w:val="ru-RU"/>
              </w:rPr>
              <w:t>- затраты по каждому результату и общую единовременную сумму за весь период выполнения задания (в долларах США) для выполнения технического задания.</w:t>
            </w:r>
          </w:p>
          <w:p w14:paraId="53DAF65A" w14:textId="65C06304" w:rsidR="00EA4881" w:rsidRPr="002629B4" w:rsidRDefault="00EA4881" w:rsidP="00EA4881">
            <w:pPr>
              <w:pStyle w:val="NormalWeb"/>
              <w:spacing w:before="0" w:beforeAutospacing="0" w:after="0" w:afterAutospacing="0"/>
              <w:jc w:val="both"/>
              <w:rPr>
                <w:rFonts w:asciiTheme="minorHAnsi" w:hAnsiTheme="minorHAnsi" w:cstheme="minorHAnsi"/>
                <w:sz w:val="22"/>
                <w:szCs w:val="22"/>
                <w:lang w:val="ru-RU"/>
              </w:rPr>
            </w:pPr>
            <w:r w:rsidRPr="002629B4">
              <w:rPr>
                <w:rFonts w:asciiTheme="minorHAnsi" w:hAnsiTheme="minorHAnsi" w:cstheme="minorHAnsi"/>
                <w:sz w:val="22"/>
                <w:szCs w:val="22"/>
                <w:lang w:val="ru-RU"/>
              </w:rPr>
              <w:t xml:space="preserve">- командировочные расходы и суточные, если консультант нанят  из-за рубежа или требуются командировки в соответствии с техническим заданием. Консультанты несут ответственность за организацию своих поездок. ЮНИСЕФ может предоставить служебный автомобиль для некоторых служебных командировок при условии предварительного включения командировки в ежемесячный план командировок, одобренного руководителем </w:t>
            </w:r>
          </w:p>
          <w:p w14:paraId="25D58F76" w14:textId="77777777" w:rsidR="00EA4881" w:rsidRPr="002629B4" w:rsidRDefault="00EA4881" w:rsidP="00EA4881">
            <w:pPr>
              <w:pStyle w:val="NormalWeb"/>
              <w:spacing w:before="0" w:beforeAutospacing="0" w:after="0" w:afterAutospacing="0"/>
              <w:jc w:val="both"/>
              <w:rPr>
                <w:rFonts w:asciiTheme="minorHAnsi" w:hAnsiTheme="minorHAnsi" w:cstheme="minorHAnsi"/>
                <w:sz w:val="22"/>
                <w:szCs w:val="22"/>
                <w:lang w:val="ru-RU"/>
              </w:rPr>
            </w:pPr>
          </w:p>
          <w:p w14:paraId="67A33F0C" w14:textId="43967BD3" w:rsidR="00EA4881" w:rsidRPr="00EA4881" w:rsidRDefault="00EA4881" w:rsidP="00EA4881">
            <w:pPr>
              <w:pStyle w:val="NormalWeb"/>
              <w:spacing w:before="0" w:beforeAutospacing="0" w:after="0" w:afterAutospacing="0"/>
              <w:jc w:val="both"/>
              <w:rPr>
                <w:rFonts w:asciiTheme="minorHAnsi" w:hAnsiTheme="minorHAnsi" w:cstheme="minorHAnsi"/>
                <w:sz w:val="22"/>
                <w:szCs w:val="22"/>
                <w:lang w:val="ru-RU"/>
              </w:rPr>
            </w:pPr>
            <w:r w:rsidRPr="002629B4">
              <w:rPr>
                <w:rFonts w:asciiTheme="minorHAnsi" w:hAnsiTheme="minorHAnsi" w:cstheme="minorHAnsi"/>
                <w:sz w:val="22"/>
                <w:szCs w:val="22"/>
                <w:lang w:val="ru-RU"/>
              </w:rPr>
              <w:t>- любые другие расходы: виза, медицинская страховка, оплата непредвиденных расходов (например, банковские сборы, страховки и т. д.) и расходы на проживание, если применимо.</w:t>
            </w:r>
          </w:p>
          <w:p w14:paraId="040F92CF" w14:textId="77777777" w:rsidR="00EA4881" w:rsidRDefault="00EA4881" w:rsidP="00EA4881">
            <w:pPr>
              <w:pStyle w:val="NormalWeb"/>
              <w:spacing w:before="0" w:beforeAutospacing="0" w:after="0" w:afterAutospacing="0"/>
              <w:jc w:val="both"/>
              <w:rPr>
                <w:rFonts w:asciiTheme="minorHAnsi" w:hAnsiTheme="minorHAnsi" w:cstheme="minorHAnsi"/>
                <w:sz w:val="22"/>
                <w:szCs w:val="22"/>
                <w:lang w:val="ru-RU"/>
              </w:rPr>
            </w:pPr>
          </w:p>
          <w:p w14:paraId="359CF61A" w14:textId="7F192E3B" w:rsidR="00F95C43" w:rsidRPr="00EA4881" w:rsidRDefault="00F95C43" w:rsidP="00EA4881">
            <w:pPr>
              <w:pStyle w:val="NormalWeb"/>
              <w:spacing w:before="0" w:beforeAutospacing="0" w:after="0" w:afterAutospacing="0"/>
              <w:jc w:val="both"/>
              <w:rPr>
                <w:rFonts w:asciiTheme="minorHAnsi" w:hAnsiTheme="minorHAnsi" w:cstheme="minorHAnsi"/>
                <w:color w:val="000000" w:themeColor="text1"/>
                <w:sz w:val="22"/>
                <w:szCs w:val="22"/>
                <w:lang w:val="en-US"/>
              </w:rPr>
            </w:pPr>
            <w:r w:rsidRPr="00F95C43">
              <w:rPr>
                <w:rFonts w:asciiTheme="minorHAnsi" w:hAnsiTheme="minorHAnsi" w:cstheme="minorHAnsi"/>
                <w:sz w:val="22"/>
                <w:szCs w:val="22"/>
              </w:rPr>
              <w:t>Financial</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proposal</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should</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be</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submitted</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using</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the</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financial</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offer</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template</w:t>
            </w:r>
            <w:r w:rsidRPr="00EA4881">
              <w:rPr>
                <w:rFonts w:asciiTheme="minorHAnsi" w:hAnsiTheme="minorHAnsi" w:cstheme="minorHAnsi"/>
                <w:sz w:val="22"/>
                <w:szCs w:val="22"/>
                <w:lang w:val="en-US"/>
              </w:rPr>
              <w:t xml:space="preserve"> </w:t>
            </w:r>
            <w:r w:rsidRPr="00F95C43">
              <w:rPr>
                <w:rFonts w:asciiTheme="minorHAnsi" w:hAnsiTheme="minorHAnsi" w:cstheme="minorHAnsi"/>
                <w:sz w:val="22"/>
                <w:szCs w:val="22"/>
              </w:rPr>
              <w:t>and</w:t>
            </w:r>
            <w:r w:rsidRPr="00EA4881">
              <w:rPr>
                <w:rFonts w:asciiTheme="minorHAnsi" w:hAnsiTheme="minorHAnsi" w:cstheme="minorHAnsi"/>
                <w:sz w:val="22"/>
                <w:szCs w:val="22"/>
                <w:lang w:val="en-US"/>
              </w:rPr>
              <w:t xml:space="preserve"> </w:t>
            </w:r>
            <w:proofErr w:type="gramStart"/>
            <w:r w:rsidRPr="00F95C43">
              <w:rPr>
                <w:rFonts w:asciiTheme="minorHAnsi" w:hAnsiTheme="minorHAnsi" w:cstheme="minorHAnsi"/>
                <w:sz w:val="22"/>
                <w:szCs w:val="22"/>
              </w:rPr>
              <w:t>must</w:t>
            </w:r>
            <w:r w:rsidRPr="00EA4881">
              <w:rPr>
                <w:rFonts w:asciiTheme="minorHAnsi" w:hAnsiTheme="minorHAnsi" w:cstheme="minorHAnsi"/>
                <w:sz w:val="22"/>
                <w:szCs w:val="22"/>
                <w:lang w:val="en-US"/>
              </w:rPr>
              <w:t xml:space="preserve"> :</w:t>
            </w:r>
            <w:proofErr w:type="gramEnd"/>
          </w:p>
          <w:p w14:paraId="619A1CC2"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 xml:space="preserve">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w:t>
            </w:r>
            <w:proofErr w:type="gramStart"/>
            <w:r w:rsidRPr="00F95C43">
              <w:rPr>
                <w:rFonts w:asciiTheme="minorHAnsi" w:hAnsiTheme="minorHAnsi" w:cstheme="minorHAnsi"/>
                <w:sz w:val="22"/>
                <w:szCs w:val="22"/>
              </w:rPr>
              <w:t>supervisor</w:t>
            </w:r>
            <w:proofErr w:type="gramEnd"/>
          </w:p>
          <w:p w14:paraId="39B4040A" w14:textId="1047EF2E" w:rsidR="002607BB"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7C145768" w14:textId="77777777" w:rsidR="008C242D" w:rsidRPr="00392F18" w:rsidRDefault="008C242D" w:rsidP="000E3A95">
      <w:pPr>
        <w:jc w:val="both"/>
        <w:rPr>
          <w:rFonts w:asciiTheme="minorHAnsi" w:hAnsiTheme="minorHAnsi" w:cstheme="minorHAnsi"/>
          <w:b/>
          <w:i/>
          <w:sz w:val="22"/>
          <w:szCs w:val="22"/>
          <w:u w:val="single"/>
        </w:rPr>
      </w:pPr>
    </w:p>
    <w:sectPr w:rsidR="008C242D"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6065" w14:textId="77777777" w:rsidR="00D32217" w:rsidRDefault="00D32217" w:rsidP="00545FAA">
      <w:r>
        <w:separator/>
      </w:r>
    </w:p>
  </w:endnote>
  <w:endnote w:type="continuationSeparator" w:id="0">
    <w:p w14:paraId="4452F383" w14:textId="77777777" w:rsidR="00D32217" w:rsidRDefault="00D32217"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61DB" w14:textId="77777777" w:rsidR="00D32217" w:rsidRDefault="00D32217" w:rsidP="00545FAA">
      <w:r>
        <w:separator/>
      </w:r>
    </w:p>
  </w:footnote>
  <w:footnote w:type="continuationSeparator" w:id="0">
    <w:p w14:paraId="2326ED7B" w14:textId="77777777" w:rsidR="00D32217" w:rsidRDefault="00D32217"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271D2"/>
    <w:multiLevelType w:val="hybridMultilevel"/>
    <w:tmpl w:val="B9963C44"/>
    <w:lvl w:ilvl="0" w:tplc="7C4295F8">
      <w:start w:val="17"/>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9237B9"/>
    <w:multiLevelType w:val="hybridMultilevel"/>
    <w:tmpl w:val="EC6684D4"/>
    <w:lvl w:ilvl="0" w:tplc="7C4295F8">
      <w:start w:val="17"/>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8F1A51"/>
    <w:multiLevelType w:val="hybridMultilevel"/>
    <w:tmpl w:val="8668D458"/>
    <w:lvl w:ilvl="0" w:tplc="7C4295F8">
      <w:start w:val="17"/>
      <w:numFmt w:val="bullet"/>
      <w:lvlText w:val="-"/>
      <w:lvlJc w:val="left"/>
      <w:pPr>
        <w:ind w:left="360" w:hanging="360"/>
      </w:pPr>
      <w:rPr>
        <w:rFonts w:ascii="Calibri" w:eastAsia="MS PGothic"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5"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A0A1A"/>
    <w:multiLevelType w:val="hybridMultilevel"/>
    <w:tmpl w:val="56C2B722"/>
    <w:lvl w:ilvl="0" w:tplc="7C4295F8">
      <w:start w:val="17"/>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43"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4"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BE2B76"/>
    <w:multiLevelType w:val="hybridMultilevel"/>
    <w:tmpl w:val="179C27C6"/>
    <w:lvl w:ilvl="0" w:tplc="7C4295F8">
      <w:start w:val="17"/>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51"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52"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50"/>
  </w:num>
  <w:num w:numId="2" w16cid:durableId="1364094206">
    <w:abstractNumId w:val="43"/>
  </w:num>
  <w:num w:numId="3" w16cid:durableId="1702321937">
    <w:abstractNumId w:val="24"/>
  </w:num>
  <w:num w:numId="4" w16cid:durableId="1346665118">
    <w:abstractNumId w:val="6"/>
  </w:num>
  <w:num w:numId="5" w16cid:durableId="2133405024">
    <w:abstractNumId w:val="51"/>
  </w:num>
  <w:num w:numId="6" w16cid:durableId="976181028">
    <w:abstractNumId w:val="44"/>
  </w:num>
  <w:num w:numId="7" w16cid:durableId="490562535">
    <w:abstractNumId w:val="11"/>
  </w:num>
  <w:num w:numId="8" w16cid:durableId="1321039942">
    <w:abstractNumId w:val="3"/>
  </w:num>
  <w:num w:numId="9" w16cid:durableId="273755551">
    <w:abstractNumId w:val="17"/>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5"/>
  </w:num>
  <w:num w:numId="17" w16cid:durableId="899362062">
    <w:abstractNumId w:val="34"/>
  </w:num>
  <w:num w:numId="18" w16cid:durableId="1077023397">
    <w:abstractNumId w:val="25"/>
  </w:num>
  <w:num w:numId="19" w16cid:durableId="160896618">
    <w:abstractNumId w:val="39"/>
  </w:num>
  <w:num w:numId="20" w16cid:durableId="273177986">
    <w:abstractNumId w:val="8"/>
  </w:num>
  <w:num w:numId="21" w16cid:durableId="1856646828">
    <w:abstractNumId w:val="36"/>
  </w:num>
  <w:num w:numId="22" w16cid:durableId="792942388">
    <w:abstractNumId w:val="2"/>
  </w:num>
  <w:num w:numId="23" w16cid:durableId="2054647481">
    <w:abstractNumId w:val="30"/>
  </w:num>
  <w:num w:numId="24" w16cid:durableId="850993902">
    <w:abstractNumId w:val="49"/>
  </w:num>
  <w:num w:numId="25" w16cid:durableId="675501803">
    <w:abstractNumId w:val="42"/>
  </w:num>
  <w:num w:numId="26" w16cid:durableId="1851330143">
    <w:abstractNumId w:val="38"/>
  </w:num>
  <w:num w:numId="27" w16cid:durableId="1315986609">
    <w:abstractNumId w:val="32"/>
  </w:num>
  <w:num w:numId="28" w16cid:durableId="422576206">
    <w:abstractNumId w:val="13"/>
  </w:num>
  <w:num w:numId="29" w16cid:durableId="1650746409">
    <w:abstractNumId w:val="37"/>
  </w:num>
  <w:num w:numId="30" w16cid:durableId="315307889">
    <w:abstractNumId w:val="0"/>
  </w:num>
  <w:num w:numId="31" w16cid:durableId="228153130">
    <w:abstractNumId w:val="53"/>
  </w:num>
  <w:num w:numId="32" w16cid:durableId="150803044">
    <w:abstractNumId w:val="47"/>
  </w:num>
  <w:num w:numId="33" w16cid:durableId="1667004846">
    <w:abstractNumId w:val="19"/>
  </w:num>
  <w:num w:numId="34" w16cid:durableId="512916550">
    <w:abstractNumId w:val="21"/>
  </w:num>
  <w:num w:numId="35" w16cid:durableId="1654792620">
    <w:abstractNumId w:val="48"/>
  </w:num>
  <w:num w:numId="36" w16cid:durableId="1256134880">
    <w:abstractNumId w:val="31"/>
  </w:num>
  <w:num w:numId="37" w16cid:durableId="1169516834">
    <w:abstractNumId w:val="22"/>
  </w:num>
  <w:num w:numId="38" w16cid:durableId="1299529683">
    <w:abstractNumId w:val="45"/>
  </w:num>
  <w:num w:numId="39" w16cid:durableId="1619143484">
    <w:abstractNumId w:val="52"/>
  </w:num>
  <w:num w:numId="40" w16cid:durableId="390733882">
    <w:abstractNumId w:val="41"/>
  </w:num>
  <w:num w:numId="41" w16cid:durableId="1192959450">
    <w:abstractNumId w:val="28"/>
  </w:num>
  <w:num w:numId="42" w16cid:durableId="533345612">
    <w:abstractNumId w:val="29"/>
  </w:num>
  <w:num w:numId="43" w16cid:durableId="993096981">
    <w:abstractNumId w:val="5"/>
  </w:num>
  <w:num w:numId="44" w16cid:durableId="800458439">
    <w:abstractNumId w:val="40"/>
  </w:num>
  <w:num w:numId="45" w16cid:durableId="1369725012">
    <w:abstractNumId w:val="4"/>
  </w:num>
  <w:num w:numId="46" w16cid:durableId="583685125">
    <w:abstractNumId w:val="33"/>
  </w:num>
  <w:num w:numId="47" w16cid:durableId="1193808531">
    <w:abstractNumId w:val="15"/>
  </w:num>
  <w:num w:numId="48" w16cid:durableId="147134272">
    <w:abstractNumId w:val="23"/>
  </w:num>
  <w:num w:numId="49" w16cid:durableId="871845339">
    <w:abstractNumId w:val="26"/>
  </w:num>
  <w:num w:numId="50" w16cid:durableId="1682707610">
    <w:abstractNumId w:val="27"/>
  </w:num>
  <w:num w:numId="51" w16cid:durableId="462306215">
    <w:abstractNumId w:val="46"/>
  </w:num>
  <w:num w:numId="52" w16cid:durableId="781069937">
    <w:abstractNumId w:val="20"/>
  </w:num>
  <w:num w:numId="53" w16cid:durableId="464197253">
    <w:abstractNumId w:val="18"/>
  </w:num>
  <w:num w:numId="54" w16cid:durableId="18946583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162"/>
    <w:rsid w:val="000209C6"/>
    <w:rsid w:val="000271B0"/>
    <w:rsid w:val="00030533"/>
    <w:rsid w:val="00032141"/>
    <w:rsid w:val="00041CA1"/>
    <w:rsid w:val="000421C6"/>
    <w:rsid w:val="00044C20"/>
    <w:rsid w:val="0005047B"/>
    <w:rsid w:val="00054438"/>
    <w:rsid w:val="000552A9"/>
    <w:rsid w:val="0005614B"/>
    <w:rsid w:val="00057C7C"/>
    <w:rsid w:val="00066B50"/>
    <w:rsid w:val="0007738D"/>
    <w:rsid w:val="00082F26"/>
    <w:rsid w:val="000832AE"/>
    <w:rsid w:val="00091D9F"/>
    <w:rsid w:val="000C0341"/>
    <w:rsid w:val="000D39E5"/>
    <w:rsid w:val="000E3A95"/>
    <w:rsid w:val="000E405B"/>
    <w:rsid w:val="000E58D7"/>
    <w:rsid w:val="000E7447"/>
    <w:rsid w:val="000F7AE6"/>
    <w:rsid w:val="001142CC"/>
    <w:rsid w:val="001170C6"/>
    <w:rsid w:val="00122C5D"/>
    <w:rsid w:val="00126636"/>
    <w:rsid w:val="00143416"/>
    <w:rsid w:val="00144EF3"/>
    <w:rsid w:val="00157B7C"/>
    <w:rsid w:val="00166B61"/>
    <w:rsid w:val="001972EA"/>
    <w:rsid w:val="001A2859"/>
    <w:rsid w:val="001B595B"/>
    <w:rsid w:val="001D338F"/>
    <w:rsid w:val="001D3671"/>
    <w:rsid w:val="001D46F8"/>
    <w:rsid w:val="001E303C"/>
    <w:rsid w:val="001E4360"/>
    <w:rsid w:val="001E64D0"/>
    <w:rsid w:val="001E7C55"/>
    <w:rsid w:val="001F3961"/>
    <w:rsid w:val="001F488A"/>
    <w:rsid w:val="00222B54"/>
    <w:rsid w:val="00223042"/>
    <w:rsid w:val="002325FC"/>
    <w:rsid w:val="00240E6A"/>
    <w:rsid w:val="00254E09"/>
    <w:rsid w:val="00260664"/>
    <w:rsid w:val="002607BB"/>
    <w:rsid w:val="00260B1C"/>
    <w:rsid w:val="002629B4"/>
    <w:rsid w:val="00271FC6"/>
    <w:rsid w:val="00274F2E"/>
    <w:rsid w:val="002800AD"/>
    <w:rsid w:val="002860AB"/>
    <w:rsid w:val="0029017E"/>
    <w:rsid w:val="0029193D"/>
    <w:rsid w:val="002B7413"/>
    <w:rsid w:val="002B75B3"/>
    <w:rsid w:val="002C433E"/>
    <w:rsid w:val="002D5C9A"/>
    <w:rsid w:val="002E61B8"/>
    <w:rsid w:val="002F649A"/>
    <w:rsid w:val="003017B4"/>
    <w:rsid w:val="00302B73"/>
    <w:rsid w:val="00307CB9"/>
    <w:rsid w:val="00320F04"/>
    <w:rsid w:val="00322C03"/>
    <w:rsid w:val="00342849"/>
    <w:rsid w:val="00346D3A"/>
    <w:rsid w:val="00350E33"/>
    <w:rsid w:val="00360881"/>
    <w:rsid w:val="003669C1"/>
    <w:rsid w:val="003671D4"/>
    <w:rsid w:val="003730E9"/>
    <w:rsid w:val="003832EF"/>
    <w:rsid w:val="00391D6B"/>
    <w:rsid w:val="00392F18"/>
    <w:rsid w:val="00393B3E"/>
    <w:rsid w:val="003974A0"/>
    <w:rsid w:val="003A7E8A"/>
    <w:rsid w:val="003B6A60"/>
    <w:rsid w:val="003C09C9"/>
    <w:rsid w:val="003C5AC0"/>
    <w:rsid w:val="003C68BF"/>
    <w:rsid w:val="003C7893"/>
    <w:rsid w:val="003D341B"/>
    <w:rsid w:val="003E4488"/>
    <w:rsid w:val="003F3261"/>
    <w:rsid w:val="00411152"/>
    <w:rsid w:val="00422F44"/>
    <w:rsid w:val="004455AB"/>
    <w:rsid w:val="004533FC"/>
    <w:rsid w:val="00460D8A"/>
    <w:rsid w:val="00463216"/>
    <w:rsid w:val="00467E26"/>
    <w:rsid w:val="0047558B"/>
    <w:rsid w:val="00477DEF"/>
    <w:rsid w:val="004817D9"/>
    <w:rsid w:val="00492B67"/>
    <w:rsid w:val="0049654B"/>
    <w:rsid w:val="004C1B19"/>
    <w:rsid w:val="004F354E"/>
    <w:rsid w:val="004F643D"/>
    <w:rsid w:val="005003B4"/>
    <w:rsid w:val="00522BD5"/>
    <w:rsid w:val="00524646"/>
    <w:rsid w:val="0053475B"/>
    <w:rsid w:val="005374A0"/>
    <w:rsid w:val="0054139A"/>
    <w:rsid w:val="00545FAA"/>
    <w:rsid w:val="00547D94"/>
    <w:rsid w:val="00560063"/>
    <w:rsid w:val="00560A9F"/>
    <w:rsid w:val="00565D98"/>
    <w:rsid w:val="0057053A"/>
    <w:rsid w:val="00573630"/>
    <w:rsid w:val="00575CE4"/>
    <w:rsid w:val="0058634B"/>
    <w:rsid w:val="00594E3D"/>
    <w:rsid w:val="005A0516"/>
    <w:rsid w:val="005B66AC"/>
    <w:rsid w:val="005C4B0E"/>
    <w:rsid w:val="005C7538"/>
    <w:rsid w:val="005D0B6F"/>
    <w:rsid w:val="005D13F4"/>
    <w:rsid w:val="005D5C6B"/>
    <w:rsid w:val="005E121B"/>
    <w:rsid w:val="005F3058"/>
    <w:rsid w:val="005F57DC"/>
    <w:rsid w:val="00617B7D"/>
    <w:rsid w:val="00617CC6"/>
    <w:rsid w:val="00622F0D"/>
    <w:rsid w:val="00660DF6"/>
    <w:rsid w:val="0066621A"/>
    <w:rsid w:val="00666439"/>
    <w:rsid w:val="006677F0"/>
    <w:rsid w:val="00682B88"/>
    <w:rsid w:val="006B519B"/>
    <w:rsid w:val="006C259F"/>
    <w:rsid w:val="006E0E20"/>
    <w:rsid w:val="006E71CB"/>
    <w:rsid w:val="006F0305"/>
    <w:rsid w:val="006F133C"/>
    <w:rsid w:val="006F262C"/>
    <w:rsid w:val="006F4E02"/>
    <w:rsid w:val="00701191"/>
    <w:rsid w:val="00701D13"/>
    <w:rsid w:val="00726BE8"/>
    <w:rsid w:val="00727411"/>
    <w:rsid w:val="00736E55"/>
    <w:rsid w:val="00737FB8"/>
    <w:rsid w:val="00763231"/>
    <w:rsid w:val="0076386B"/>
    <w:rsid w:val="00770756"/>
    <w:rsid w:val="0079264D"/>
    <w:rsid w:val="007A3EC4"/>
    <w:rsid w:val="007A4854"/>
    <w:rsid w:val="007A4DAB"/>
    <w:rsid w:val="007A6E13"/>
    <w:rsid w:val="007B34BE"/>
    <w:rsid w:val="007B5A8F"/>
    <w:rsid w:val="007C1BDC"/>
    <w:rsid w:val="007C346B"/>
    <w:rsid w:val="007C5C84"/>
    <w:rsid w:val="007C7175"/>
    <w:rsid w:val="007D0409"/>
    <w:rsid w:val="007D27DD"/>
    <w:rsid w:val="007D5B94"/>
    <w:rsid w:val="007E6DD4"/>
    <w:rsid w:val="008244FC"/>
    <w:rsid w:val="00834356"/>
    <w:rsid w:val="0084580E"/>
    <w:rsid w:val="00846FBB"/>
    <w:rsid w:val="00850F62"/>
    <w:rsid w:val="00857580"/>
    <w:rsid w:val="00860359"/>
    <w:rsid w:val="00863E98"/>
    <w:rsid w:val="00864CC8"/>
    <w:rsid w:val="0088024F"/>
    <w:rsid w:val="00892EF1"/>
    <w:rsid w:val="00893D68"/>
    <w:rsid w:val="008A0693"/>
    <w:rsid w:val="008B5DFC"/>
    <w:rsid w:val="008B6B31"/>
    <w:rsid w:val="008C0D14"/>
    <w:rsid w:val="008C242D"/>
    <w:rsid w:val="008C7987"/>
    <w:rsid w:val="008D246E"/>
    <w:rsid w:val="008E2BF4"/>
    <w:rsid w:val="00904480"/>
    <w:rsid w:val="00904CE7"/>
    <w:rsid w:val="009124AB"/>
    <w:rsid w:val="0092033B"/>
    <w:rsid w:val="00924213"/>
    <w:rsid w:val="009263B9"/>
    <w:rsid w:val="0092719C"/>
    <w:rsid w:val="00933928"/>
    <w:rsid w:val="00953E0C"/>
    <w:rsid w:val="00967022"/>
    <w:rsid w:val="009859D2"/>
    <w:rsid w:val="00990A67"/>
    <w:rsid w:val="0099263C"/>
    <w:rsid w:val="009B3571"/>
    <w:rsid w:val="009B5F4E"/>
    <w:rsid w:val="009C330A"/>
    <w:rsid w:val="009C7437"/>
    <w:rsid w:val="009D25AA"/>
    <w:rsid w:val="009E11B0"/>
    <w:rsid w:val="009E3E32"/>
    <w:rsid w:val="009E3EE0"/>
    <w:rsid w:val="009F22CB"/>
    <w:rsid w:val="00A01542"/>
    <w:rsid w:val="00A042EE"/>
    <w:rsid w:val="00A10511"/>
    <w:rsid w:val="00A13443"/>
    <w:rsid w:val="00A17871"/>
    <w:rsid w:val="00A21EF2"/>
    <w:rsid w:val="00A220F8"/>
    <w:rsid w:val="00A23642"/>
    <w:rsid w:val="00A33BB8"/>
    <w:rsid w:val="00A57C4A"/>
    <w:rsid w:val="00A62FEA"/>
    <w:rsid w:val="00A705D8"/>
    <w:rsid w:val="00A763EF"/>
    <w:rsid w:val="00A776EA"/>
    <w:rsid w:val="00A87F0B"/>
    <w:rsid w:val="00AB25F2"/>
    <w:rsid w:val="00AB7417"/>
    <w:rsid w:val="00AD0DC9"/>
    <w:rsid w:val="00AD63E1"/>
    <w:rsid w:val="00AD71FA"/>
    <w:rsid w:val="00AD7CB3"/>
    <w:rsid w:val="00AF2493"/>
    <w:rsid w:val="00AF4A5A"/>
    <w:rsid w:val="00AF69BC"/>
    <w:rsid w:val="00B04F48"/>
    <w:rsid w:val="00B11CC6"/>
    <w:rsid w:val="00B123AC"/>
    <w:rsid w:val="00B1247D"/>
    <w:rsid w:val="00B27BCC"/>
    <w:rsid w:val="00B34EFE"/>
    <w:rsid w:val="00B35558"/>
    <w:rsid w:val="00B47C9A"/>
    <w:rsid w:val="00B520A3"/>
    <w:rsid w:val="00B5296B"/>
    <w:rsid w:val="00B61F8F"/>
    <w:rsid w:val="00B65235"/>
    <w:rsid w:val="00B66896"/>
    <w:rsid w:val="00B706F1"/>
    <w:rsid w:val="00B70978"/>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01C8"/>
    <w:rsid w:val="00C747F0"/>
    <w:rsid w:val="00C83207"/>
    <w:rsid w:val="00C858AE"/>
    <w:rsid w:val="00C91662"/>
    <w:rsid w:val="00C91D0E"/>
    <w:rsid w:val="00C94DCC"/>
    <w:rsid w:val="00CA075A"/>
    <w:rsid w:val="00CA26D1"/>
    <w:rsid w:val="00CA2E35"/>
    <w:rsid w:val="00CA47C5"/>
    <w:rsid w:val="00CC019D"/>
    <w:rsid w:val="00CC2F00"/>
    <w:rsid w:val="00CC77EE"/>
    <w:rsid w:val="00CE73B9"/>
    <w:rsid w:val="00CF6407"/>
    <w:rsid w:val="00D01350"/>
    <w:rsid w:val="00D0344B"/>
    <w:rsid w:val="00D040FB"/>
    <w:rsid w:val="00D11853"/>
    <w:rsid w:val="00D1793D"/>
    <w:rsid w:val="00D30D86"/>
    <w:rsid w:val="00D32217"/>
    <w:rsid w:val="00D57F2A"/>
    <w:rsid w:val="00D642D2"/>
    <w:rsid w:val="00D76B36"/>
    <w:rsid w:val="00D90C4C"/>
    <w:rsid w:val="00D92F13"/>
    <w:rsid w:val="00D9537E"/>
    <w:rsid w:val="00DC5EE0"/>
    <w:rsid w:val="00DD0F20"/>
    <w:rsid w:val="00DD5A5A"/>
    <w:rsid w:val="00DD7E64"/>
    <w:rsid w:val="00DD7F19"/>
    <w:rsid w:val="00DE5B5A"/>
    <w:rsid w:val="00E0465F"/>
    <w:rsid w:val="00E05211"/>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35B2"/>
    <w:rsid w:val="00EA4748"/>
    <w:rsid w:val="00EA4881"/>
    <w:rsid w:val="00EC5953"/>
    <w:rsid w:val="00ED156C"/>
    <w:rsid w:val="00ED1C02"/>
    <w:rsid w:val="00EE1D73"/>
    <w:rsid w:val="00EE3882"/>
    <w:rsid w:val="00EE3F15"/>
    <w:rsid w:val="00EF008C"/>
    <w:rsid w:val="00F00902"/>
    <w:rsid w:val="00F11685"/>
    <w:rsid w:val="00F21E81"/>
    <w:rsid w:val="00F25EAA"/>
    <w:rsid w:val="00F40B7A"/>
    <w:rsid w:val="00F40E11"/>
    <w:rsid w:val="00F50893"/>
    <w:rsid w:val="00F640C0"/>
    <w:rsid w:val="00F66F12"/>
    <w:rsid w:val="00F81AF8"/>
    <w:rsid w:val="00F8727A"/>
    <w:rsid w:val="00F91A80"/>
    <w:rsid w:val="00F95C43"/>
    <w:rsid w:val="00FA2BB9"/>
    <w:rsid w:val="00FA3CBF"/>
    <w:rsid w:val="00FC1C7F"/>
    <w:rsid w:val="00FC3E95"/>
    <w:rsid w:val="00FC5B2E"/>
    <w:rsid w:val="00FD2FAC"/>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aliases w:val="References,Bullet List,FooterText,List Paragraph1,Colorful List Accent 1,Bullets,List Paragraph (numbered (a)),Scriptoria bullet points,Table,Dot pt,F5 List Paragraph,No Spacing1,List Paragraph Char Char Char,Indicator Text,Liste 1,lp1"/>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3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Bullet List Char,FooterText Char,List Paragraph1 Char,Colorful List Accent 1 Char,Bullets Char,List Paragraph (numbered (a)) Char,Scriptoria bullet points Char,Table Char,Dot pt Char,F5 List Paragraph Char,lp1 Char"/>
    <w:link w:val="ListParagraph"/>
    <w:uiPriority w:val="34"/>
    <w:qFormat/>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 w:type="paragraph" w:customStyle="1" w:styleId="AddressText">
    <w:name w:val="Address Text"/>
    <w:rsid w:val="00B5296B"/>
    <w:pPr>
      <w:tabs>
        <w:tab w:val="left" w:pos="2699"/>
        <w:tab w:val="left" w:pos="3549"/>
      </w:tabs>
      <w:spacing w:line="200" w:lineRule="exact"/>
    </w:pPr>
    <w:rPr>
      <w:rFonts w:ascii="Arial" w:eastAsia="Times" w:hAnsi="Arial" w:cs="Times New Roman"/>
      <w:noProof/>
      <w:color w:val="36A7E9"/>
      <w:spacing w:val="-2"/>
      <w:sz w:val="16"/>
      <w:lang w:val="en-GB" w:eastAsia="en-GB"/>
    </w:rPr>
  </w:style>
  <w:style w:type="paragraph" w:styleId="Revision">
    <w:name w:val="Revision"/>
    <w:hidden/>
    <w:uiPriority w:val="99"/>
    <w:semiHidden/>
    <w:rsid w:val="00C94DCC"/>
    <w:rPr>
      <w:lang w:val="en-GB"/>
    </w:rPr>
  </w:style>
  <w:style w:type="character" w:customStyle="1" w:styleId="normaltextrun">
    <w:name w:val="normaltextrun"/>
    <w:basedOn w:val="DefaultParagraphFont"/>
    <w:rsid w:val="0011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3.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4.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5.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6.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3</cp:revision>
  <cp:lastPrinted>2019-02-18T11:54:00Z</cp:lastPrinted>
  <dcterms:created xsi:type="dcterms:W3CDTF">2024-06-21T12:28:00Z</dcterms:created>
  <dcterms:modified xsi:type="dcterms:W3CDTF">2024-06-24T13:47:00Z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