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2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840"/>
        <w:gridCol w:w="3330"/>
      </w:tblGrid>
      <w:tr w:rsidR="00625D59" w:rsidRPr="00762FC1" w14:paraId="4CC54B56" w14:textId="77777777" w:rsidTr="00353B0E">
        <w:tblPrEx>
          <w:tblCellMar>
            <w:top w:w="0" w:type="dxa"/>
            <w:bottom w:w="0" w:type="dxa"/>
          </w:tblCellMar>
        </w:tblPrEx>
        <w:trPr>
          <w:trHeight w:val="1662"/>
        </w:trPr>
        <w:tc>
          <w:tcPr>
            <w:tcW w:w="6840" w:type="dxa"/>
            <w:tcBorders>
              <w:bottom w:val="double" w:sz="4" w:space="0" w:color="auto"/>
            </w:tcBorders>
          </w:tcPr>
          <w:p w14:paraId="6FC0CBD2" w14:textId="77777777" w:rsidR="00625D59" w:rsidRPr="00762FC1" w:rsidRDefault="00625D59" w:rsidP="00353B0E">
            <w:pPr>
              <w:tabs>
                <w:tab w:val="left" w:pos="851"/>
                <w:tab w:val="left" w:pos="2268"/>
              </w:tabs>
              <w:ind w:left="-108"/>
              <w:rPr>
                <w:rFonts w:ascii="Calibri" w:hAnsi="Calibri" w:cs="Calibri"/>
                <w:szCs w:val="24"/>
              </w:rPr>
            </w:pPr>
          </w:p>
          <w:p w14:paraId="52582821" w14:textId="77777777" w:rsidR="00625D59" w:rsidRPr="00762FC1" w:rsidRDefault="00625D59" w:rsidP="00353B0E">
            <w:pPr>
              <w:tabs>
                <w:tab w:val="left" w:pos="0"/>
                <w:tab w:val="left" w:pos="1512"/>
              </w:tabs>
              <w:ind w:left="1512" w:hanging="1512"/>
              <w:rPr>
                <w:rFonts w:ascii="Calibri" w:hAnsi="Calibri" w:cs="Calibri"/>
                <w:b/>
                <w:szCs w:val="24"/>
                <w:u w:val="single"/>
              </w:rPr>
            </w:pPr>
            <w:r w:rsidRPr="00762FC1">
              <w:rPr>
                <w:rFonts w:ascii="Calibri" w:hAnsi="Calibri" w:cs="Calibri"/>
                <w:b/>
                <w:szCs w:val="24"/>
              </w:rPr>
              <w:t>JOB TITLE</w:t>
            </w:r>
            <w:r w:rsidRPr="00762FC1">
              <w:rPr>
                <w:rFonts w:ascii="Calibri" w:hAnsi="Calibri" w:cs="Calibri"/>
                <w:szCs w:val="24"/>
              </w:rPr>
              <w:t>:</w:t>
            </w:r>
            <w:r>
              <w:rPr>
                <w:rFonts w:ascii="Calibri" w:hAnsi="Calibri" w:cs="Calibri"/>
                <w:szCs w:val="24"/>
              </w:rPr>
              <w:t xml:space="preserve"> </w:t>
            </w:r>
            <w:r w:rsidRPr="00762FC1">
              <w:rPr>
                <w:rFonts w:ascii="Calibri" w:hAnsi="Calibri" w:cs="Calibri"/>
                <w:b/>
                <w:color w:val="000000"/>
                <w:szCs w:val="24"/>
                <w:lang w:val="en-US" w:eastAsia="en-US"/>
              </w:rPr>
              <w:t xml:space="preserve">Donor Relations Officer </w:t>
            </w:r>
          </w:p>
          <w:p w14:paraId="1B08691C" w14:textId="77777777" w:rsidR="00625D59" w:rsidRPr="00762FC1" w:rsidRDefault="00625D59" w:rsidP="00353B0E">
            <w:pPr>
              <w:tabs>
                <w:tab w:val="left" w:pos="72"/>
                <w:tab w:val="left" w:pos="1692"/>
              </w:tabs>
              <w:ind w:left="72" w:hanging="187"/>
              <w:rPr>
                <w:rFonts w:ascii="Calibri" w:hAnsi="Calibri" w:cs="Calibri"/>
                <w:b/>
                <w:szCs w:val="24"/>
                <w:u w:val="single"/>
              </w:rPr>
            </w:pPr>
            <w:r w:rsidRPr="00762FC1">
              <w:rPr>
                <w:rFonts w:ascii="Calibri" w:hAnsi="Calibri" w:cs="Calibri"/>
                <w:szCs w:val="24"/>
              </w:rPr>
              <w:t xml:space="preserve">  </w:t>
            </w:r>
            <w:r w:rsidRPr="00762FC1">
              <w:rPr>
                <w:rFonts w:ascii="Calibri" w:hAnsi="Calibri" w:cs="Calibri"/>
                <w:b/>
                <w:szCs w:val="24"/>
              </w:rPr>
              <w:t>JOB LEVEL</w:t>
            </w:r>
            <w:r w:rsidRPr="00762FC1">
              <w:rPr>
                <w:rFonts w:ascii="Calibri" w:hAnsi="Calibri" w:cs="Calibri"/>
                <w:szCs w:val="24"/>
              </w:rPr>
              <w:t>:</w:t>
            </w:r>
            <w:r>
              <w:rPr>
                <w:rFonts w:ascii="Calibri" w:hAnsi="Calibri" w:cs="Calibri"/>
                <w:szCs w:val="24"/>
              </w:rPr>
              <w:t xml:space="preserve"> </w:t>
            </w:r>
            <w:r w:rsidRPr="00762FC1">
              <w:rPr>
                <w:rFonts w:ascii="Calibri" w:hAnsi="Calibri" w:cs="Calibri"/>
                <w:b/>
                <w:szCs w:val="24"/>
              </w:rPr>
              <w:t>NOA (Level 1)</w:t>
            </w:r>
            <w:r>
              <w:rPr>
                <w:rFonts w:ascii="Calibri" w:hAnsi="Calibri" w:cs="Calibri"/>
                <w:b/>
                <w:szCs w:val="24"/>
              </w:rPr>
              <w:t>, Post # 94968</w:t>
            </w:r>
          </w:p>
          <w:p w14:paraId="2CB518F6" w14:textId="77777777" w:rsidR="00625D59" w:rsidRPr="00762FC1" w:rsidRDefault="00625D59" w:rsidP="00353B0E">
            <w:pPr>
              <w:ind w:left="1512" w:hanging="1627"/>
              <w:rPr>
                <w:rFonts w:ascii="Calibri" w:hAnsi="Calibri" w:cs="Calibri"/>
                <w:b/>
                <w:szCs w:val="24"/>
              </w:rPr>
            </w:pPr>
            <w:r w:rsidRPr="00762FC1">
              <w:rPr>
                <w:rFonts w:ascii="Calibri" w:hAnsi="Calibri" w:cs="Calibri"/>
                <w:b/>
                <w:szCs w:val="24"/>
              </w:rPr>
              <w:t xml:space="preserve">  REPORTS TO</w:t>
            </w:r>
            <w:r>
              <w:rPr>
                <w:rFonts w:ascii="Calibri" w:hAnsi="Calibri" w:cs="Calibri"/>
                <w:b/>
                <w:szCs w:val="24"/>
              </w:rPr>
              <w:t xml:space="preserve">: </w:t>
            </w:r>
            <w:r w:rsidRPr="00762FC1">
              <w:rPr>
                <w:rFonts w:ascii="Calibri" w:hAnsi="Calibri" w:cs="Calibri"/>
                <w:b/>
                <w:szCs w:val="24"/>
              </w:rPr>
              <w:t>Private Sector Fundraising Officer NOC</w:t>
            </w:r>
            <w:r>
              <w:rPr>
                <w:rFonts w:ascii="Calibri" w:hAnsi="Calibri" w:cs="Calibri"/>
                <w:b/>
                <w:szCs w:val="24"/>
              </w:rPr>
              <w:t>, Post # 94966</w:t>
            </w:r>
          </w:p>
          <w:p w14:paraId="3A8B5B47" w14:textId="77777777" w:rsidR="00625D59" w:rsidRDefault="00625D59" w:rsidP="00353B0E">
            <w:pPr>
              <w:tabs>
                <w:tab w:val="left" w:pos="72"/>
                <w:tab w:val="left" w:pos="2268"/>
              </w:tabs>
              <w:ind w:left="72" w:hanging="180"/>
              <w:rPr>
                <w:rFonts w:ascii="Calibri" w:hAnsi="Calibri" w:cs="Calibri"/>
                <w:b/>
                <w:szCs w:val="24"/>
              </w:rPr>
            </w:pPr>
            <w:r w:rsidRPr="00762FC1">
              <w:rPr>
                <w:rFonts w:ascii="Calibri" w:hAnsi="Calibri" w:cs="Calibri"/>
                <w:szCs w:val="24"/>
              </w:rPr>
              <w:t xml:space="preserve">  </w:t>
            </w:r>
            <w:r w:rsidRPr="00762FC1">
              <w:rPr>
                <w:rFonts w:ascii="Calibri" w:hAnsi="Calibri" w:cs="Calibri"/>
                <w:b/>
                <w:szCs w:val="24"/>
              </w:rPr>
              <w:t>LOCATION</w:t>
            </w:r>
            <w:r w:rsidRPr="00762FC1">
              <w:rPr>
                <w:rFonts w:ascii="Calibri" w:hAnsi="Calibri" w:cs="Calibri"/>
                <w:szCs w:val="24"/>
              </w:rPr>
              <w:t>:</w:t>
            </w:r>
            <w:r>
              <w:rPr>
                <w:rFonts w:ascii="Calibri" w:hAnsi="Calibri" w:cs="Calibri"/>
                <w:szCs w:val="24"/>
              </w:rPr>
              <w:t xml:space="preserve"> </w:t>
            </w:r>
            <w:r w:rsidRPr="00762FC1">
              <w:rPr>
                <w:rFonts w:ascii="Calibri" w:hAnsi="Calibri" w:cs="Calibri"/>
                <w:b/>
                <w:szCs w:val="24"/>
              </w:rPr>
              <w:t>Jakarta, Indonesia</w:t>
            </w:r>
          </w:p>
          <w:p w14:paraId="0F397854" w14:textId="77777777" w:rsidR="00625D59" w:rsidRPr="00391C44" w:rsidRDefault="00625D59" w:rsidP="00353B0E">
            <w:pPr>
              <w:tabs>
                <w:tab w:val="left" w:pos="72"/>
                <w:tab w:val="left" w:pos="2268"/>
              </w:tabs>
              <w:spacing w:after="100" w:afterAutospacing="1"/>
              <w:ind w:left="72" w:hanging="180"/>
              <w:rPr>
                <w:rFonts w:ascii="Calibri" w:hAnsi="Calibri" w:cs="Calibri"/>
                <w:b/>
                <w:szCs w:val="24"/>
              </w:rPr>
            </w:pPr>
          </w:p>
        </w:tc>
        <w:tc>
          <w:tcPr>
            <w:tcW w:w="3330" w:type="dxa"/>
            <w:tcBorders>
              <w:bottom w:val="double" w:sz="4" w:space="0" w:color="auto"/>
            </w:tcBorders>
          </w:tcPr>
          <w:p w14:paraId="2AC9F793" w14:textId="77777777" w:rsidR="00625D59" w:rsidRPr="00762FC1" w:rsidRDefault="00625D59" w:rsidP="00353B0E">
            <w:pPr>
              <w:tabs>
                <w:tab w:val="left" w:pos="162"/>
              </w:tabs>
              <w:spacing w:before="120"/>
              <w:rPr>
                <w:rFonts w:ascii="Calibri" w:hAnsi="Calibri" w:cs="Calibri"/>
                <w:szCs w:val="24"/>
              </w:rPr>
            </w:pPr>
            <w:r w:rsidRPr="00762FC1">
              <w:rPr>
                <w:rFonts w:ascii="Calibri" w:hAnsi="Calibri" w:cs="Calibri"/>
                <w:szCs w:val="24"/>
              </w:rPr>
              <w:t>JOB PROF</w:t>
            </w:r>
            <w:r>
              <w:rPr>
                <w:rFonts w:ascii="Calibri" w:hAnsi="Calibri" w:cs="Calibri"/>
                <w:szCs w:val="24"/>
              </w:rPr>
              <w:t>I</w:t>
            </w:r>
            <w:r w:rsidRPr="00762FC1">
              <w:rPr>
                <w:rFonts w:ascii="Calibri" w:hAnsi="Calibri" w:cs="Calibri"/>
                <w:szCs w:val="24"/>
              </w:rPr>
              <w:t xml:space="preserve">LE </w:t>
            </w:r>
            <w:proofErr w:type="gramStart"/>
            <w:r w:rsidRPr="00762FC1">
              <w:rPr>
                <w:rFonts w:ascii="Calibri" w:hAnsi="Calibri" w:cs="Calibri"/>
                <w:szCs w:val="24"/>
              </w:rPr>
              <w:t>NO.:_</w:t>
            </w:r>
            <w:proofErr w:type="gramEnd"/>
            <w:r w:rsidRPr="00762FC1">
              <w:rPr>
                <w:rFonts w:ascii="Calibri" w:hAnsi="Calibri" w:cs="Calibri"/>
                <w:szCs w:val="24"/>
              </w:rPr>
              <w:t>__ _</w:t>
            </w:r>
          </w:p>
          <w:p w14:paraId="212B79B4" w14:textId="77777777" w:rsidR="00625D59" w:rsidRPr="00762FC1" w:rsidRDefault="00625D59" w:rsidP="00353B0E">
            <w:pPr>
              <w:tabs>
                <w:tab w:val="left" w:pos="162"/>
                <w:tab w:val="left" w:pos="342"/>
              </w:tabs>
              <w:rPr>
                <w:rFonts w:ascii="Calibri" w:hAnsi="Calibri" w:cs="Calibri"/>
                <w:szCs w:val="24"/>
              </w:rPr>
            </w:pPr>
            <w:r w:rsidRPr="00762FC1">
              <w:rPr>
                <w:rFonts w:ascii="Calibri" w:hAnsi="Calibri" w:cs="Calibri"/>
                <w:szCs w:val="24"/>
              </w:rPr>
              <w:t xml:space="preserve">CCOG </w:t>
            </w:r>
            <w:proofErr w:type="gramStart"/>
            <w:r w:rsidRPr="00762FC1">
              <w:rPr>
                <w:rFonts w:ascii="Calibri" w:hAnsi="Calibri" w:cs="Calibri"/>
                <w:szCs w:val="24"/>
              </w:rPr>
              <w:t>CODE:_</w:t>
            </w:r>
            <w:proofErr w:type="gramEnd"/>
            <w:r w:rsidRPr="00762FC1">
              <w:rPr>
                <w:rFonts w:ascii="Calibri" w:hAnsi="Calibri" w:cs="Calibri"/>
                <w:szCs w:val="24"/>
              </w:rPr>
              <w:t>__________</w:t>
            </w:r>
          </w:p>
          <w:p w14:paraId="1BE8A3D1" w14:textId="77777777" w:rsidR="00625D59" w:rsidRPr="00762FC1" w:rsidRDefault="00625D59" w:rsidP="00353B0E">
            <w:pPr>
              <w:tabs>
                <w:tab w:val="left" w:pos="162"/>
              </w:tabs>
              <w:rPr>
                <w:rFonts w:ascii="Calibri" w:hAnsi="Calibri" w:cs="Calibri"/>
                <w:szCs w:val="24"/>
              </w:rPr>
            </w:pPr>
            <w:r w:rsidRPr="00762FC1">
              <w:rPr>
                <w:rFonts w:ascii="Calibri" w:hAnsi="Calibri" w:cs="Calibri"/>
                <w:szCs w:val="24"/>
              </w:rPr>
              <w:t>FUNCTIONAL CODE: __ __</w:t>
            </w:r>
          </w:p>
          <w:p w14:paraId="46E14FF5" w14:textId="77777777" w:rsidR="00625D59" w:rsidRPr="00762FC1" w:rsidRDefault="00625D59" w:rsidP="00353B0E">
            <w:pPr>
              <w:tabs>
                <w:tab w:val="left" w:pos="162"/>
              </w:tabs>
              <w:rPr>
                <w:rFonts w:ascii="Calibri" w:hAnsi="Calibri" w:cs="Calibri"/>
                <w:szCs w:val="24"/>
              </w:rPr>
            </w:pPr>
            <w:r w:rsidRPr="00762FC1">
              <w:rPr>
                <w:rFonts w:ascii="Calibri" w:hAnsi="Calibri" w:cs="Calibri"/>
                <w:szCs w:val="24"/>
              </w:rPr>
              <w:t xml:space="preserve">JOB CLASSIFICATION ________ </w:t>
            </w:r>
          </w:p>
        </w:tc>
      </w:tr>
      <w:tr w:rsidR="00625D59" w:rsidRPr="00762FC1" w14:paraId="47DFA318" w14:textId="77777777" w:rsidTr="00353B0E">
        <w:tblPrEx>
          <w:tblCellMar>
            <w:top w:w="0" w:type="dxa"/>
            <w:bottom w:w="0" w:type="dxa"/>
          </w:tblCellMar>
        </w:tblPrEx>
        <w:trPr>
          <w:trHeight w:val="1662"/>
        </w:trPr>
        <w:tc>
          <w:tcPr>
            <w:tcW w:w="10170" w:type="dxa"/>
            <w:gridSpan w:val="2"/>
            <w:tcBorders>
              <w:bottom w:val="double" w:sz="4" w:space="0" w:color="auto"/>
            </w:tcBorders>
          </w:tcPr>
          <w:p w14:paraId="47E7FA35" w14:textId="77777777" w:rsidR="00625D59" w:rsidRPr="00625D59" w:rsidRDefault="00625D59" w:rsidP="00353B0E">
            <w:pPr>
              <w:tabs>
                <w:tab w:val="left" w:pos="162"/>
              </w:tabs>
              <w:rPr>
                <w:rFonts w:ascii="Calibri" w:hAnsi="Calibri" w:cs="Calibri"/>
                <w:b/>
                <w:bCs/>
                <w:szCs w:val="24"/>
              </w:rPr>
            </w:pPr>
            <w:r w:rsidRPr="00625D59">
              <w:rPr>
                <w:rFonts w:ascii="Calibri" w:hAnsi="Calibri" w:cs="Calibri"/>
                <w:b/>
                <w:bCs/>
                <w:szCs w:val="24"/>
              </w:rPr>
              <w:t>ORGANIZATIONAL CONTEXT</w:t>
            </w:r>
          </w:p>
          <w:p w14:paraId="2976A689" w14:textId="77777777" w:rsidR="00625D59" w:rsidRPr="00625D59" w:rsidRDefault="00625D59" w:rsidP="00353B0E">
            <w:pPr>
              <w:tabs>
                <w:tab w:val="left" w:pos="162"/>
              </w:tabs>
              <w:rPr>
                <w:rFonts w:ascii="Calibri" w:hAnsi="Calibri" w:cs="Calibri"/>
                <w:sz w:val="22"/>
                <w:szCs w:val="22"/>
              </w:rPr>
            </w:pPr>
            <w:r w:rsidRPr="00625D59">
              <w:rPr>
                <w:rFonts w:ascii="Calibri" w:hAnsi="Calibri" w:cs="Calibri"/>
                <w:sz w:val="22"/>
                <w:szCs w:val="22"/>
              </w:rPr>
              <w:t>This position is in the Private Fundraising &amp; Partnerships section within Indonesia country office and reports to NOC PSFR Specialist (Individual Fundraising). The specific role of the unit includes supporting the overall resource mobilization efforts of the office to secure target funds to support the efficient delivery of the programmatic priorities. The Donor Relations Officer assists</w:t>
            </w:r>
            <w:bookmarkStart w:id="0" w:name="_GoBack"/>
            <w:bookmarkEnd w:id="0"/>
            <w:r w:rsidRPr="00625D59">
              <w:rPr>
                <w:rFonts w:ascii="Calibri" w:hAnsi="Calibri" w:cs="Calibri"/>
                <w:sz w:val="22"/>
                <w:szCs w:val="22"/>
              </w:rPr>
              <w:t xml:space="preserve"> in planning, implementing and monitoring of fundraising.</w:t>
            </w:r>
          </w:p>
        </w:tc>
      </w:tr>
      <w:tr w:rsidR="00625D59" w:rsidRPr="007B67BF" w14:paraId="5C2DF26F" w14:textId="77777777" w:rsidTr="00353B0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c>
          <w:tcPr>
            <w:tcW w:w="10170" w:type="dxa"/>
            <w:gridSpan w:val="2"/>
            <w:tcBorders>
              <w:top w:val="double" w:sz="4" w:space="0" w:color="auto"/>
              <w:left w:val="double" w:sz="4" w:space="0" w:color="auto"/>
              <w:right w:val="double" w:sz="4" w:space="0" w:color="auto"/>
            </w:tcBorders>
          </w:tcPr>
          <w:p w14:paraId="6980BAF0" w14:textId="77777777" w:rsidR="00625D59" w:rsidRPr="00625D59" w:rsidRDefault="00625D59" w:rsidP="00353B0E">
            <w:pPr>
              <w:spacing w:before="120" w:after="120"/>
              <w:ind w:right="-360"/>
              <w:rPr>
                <w:rFonts w:ascii="Calibri" w:hAnsi="Calibri" w:cs="Calibri"/>
                <w:b/>
                <w:szCs w:val="24"/>
              </w:rPr>
            </w:pPr>
            <w:r w:rsidRPr="00625D59">
              <w:rPr>
                <w:rFonts w:ascii="Calibri" w:hAnsi="Calibri" w:cs="Calibri"/>
                <w:b/>
                <w:szCs w:val="24"/>
              </w:rPr>
              <w:t>PURPOSE OF THE JOB</w:t>
            </w:r>
            <w:r w:rsidRPr="00625D59">
              <w:rPr>
                <w:rFonts w:ascii="Calibri" w:hAnsi="Calibri" w:cs="Calibri"/>
                <w:b/>
                <w:szCs w:val="24"/>
                <w:u w:val="single"/>
              </w:rPr>
              <w:t xml:space="preserve"> </w:t>
            </w:r>
          </w:p>
          <w:p w14:paraId="0A90869F" w14:textId="77777777" w:rsidR="00625D59" w:rsidRPr="00625D59" w:rsidRDefault="00625D59" w:rsidP="00353B0E">
            <w:pPr>
              <w:pStyle w:val="BodyTextIndent"/>
              <w:ind w:left="0"/>
              <w:jc w:val="both"/>
              <w:rPr>
                <w:rFonts w:ascii="Calibri" w:hAnsi="Calibri" w:cs="Calibri"/>
                <w:sz w:val="22"/>
                <w:szCs w:val="22"/>
              </w:rPr>
            </w:pPr>
            <w:r w:rsidRPr="00625D59">
              <w:rPr>
                <w:rFonts w:ascii="Calibri" w:hAnsi="Calibri" w:cs="Calibri"/>
                <w:sz w:val="22"/>
                <w:szCs w:val="22"/>
              </w:rPr>
              <w:t xml:space="preserve">Under the general guidance and direct supervision of PSFR Specialist, the Officer improves the retention and increase the value of UNICEF Indonesia’s donors through inspiring donor journeys, as well as working together with the team to reduce </w:t>
            </w:r>
            <w:proofErr w:type="gramStart"/>
            <w:r w:rsidRPr="00625D59">
              <w:rPr>
                <w:rFonts w:ascii="Calibri" w:hAnsi="Calibri" w:cs="Calibri"/>
                <w:sz w:val="22"/>
                <w:szCs w:val="22"/>
              </w:rPr>
              <w:t>drop-outs</w:t>
            </w:r>
            <w:proofErr w:type="gramEnd"/>
            <w:r w:rsidRPr="00625D59">
              <w:rPr>
                <w:rFonts w:ascii="Calibri" w:hAnsi="Calibri" w:cs="Calibri"/>
                <w:sz w:val="22"/>
                <w:szCs w:val="22"/>
              </w:rPr>
              <w:t xml:space="preserve"> and cancellations.  The incumbent will ensure that the country office has useful, valid and reliable information of the situation of children’s and women’s rights, the performance of UNICEF-supported </w:t>
            </w:r>
            <w:proofErr w:type="spellStart"/>
            <w:r w:rsidRPr="00625D59">
              <w:rPr>
                <w:rFonts w:ascii="Calibri" w:hAnsi="Calibri" w:cs="Calibri"/>
                <w:sz w:val="22"/>
                <w:szCs w:val="22"/>
              </w:rPr>
              <w:t>programmes</w:t>
            </w:r>
            <w:proofErr w:type="spellEnd"/>
            <w:r w:rsidRPr="00625D59">
              <w:rPr>
                <w:rFonts w:ascii="Calibri" w:hAnsi="Calibri" w:cs="Calibri"/>
                <w:sz w:val="22"/>
                <w:szCs w:val="22"/>
              </w:rPr>
              <w:t xml:space="preserve"> including their relevance, efficiency, effectiveness and sustainability, and in emergency contexts, their coverage, coordination with other stakeholders and coherence. </w:t>
            </w:r>
          </w:p>
          <w:p w14:paraId="658937C8" w14:textId="77777777" w:rsidR="00625D59" w:rsidRPr="00625D59" w:rsidRDefault="00625D59" w:rsidP="00353B0E">
            <w:pPr>
              <w:pStyle w:val="BodyTextIndent"/>
              <w:ind w:left="0"/>
              <w:rPr>
                <w:rFonts w:ascii="Calibri" w:hAnsi="Calibri" w:cs="Calibri"/>
                <w:sz w:val="24"/>
                <w:szCs w:val="24"/>
              </w:rPr>
            </w:pPr>
          </w:p>
        </w:tc>
      </w:tr>
      <w:tr w:rsidR="00625D59" w:rsidRPr="007B67BF" w14:paraId="2FCC3CEA" w14:textId="77777777" w:rsidTr="00353B0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c>
          <w:tcPr>
            <w:tcW w:w="10170" w:type="dxa"/>
            <w:gridSpan w:val="2"/>
            <w:tcBorders>
              <w:left w:val="double" w:sz="4" w:space="0" w:color="auto"/>
              <w:right w:val="double" w:sz="4" w:space="0" w:color="auto"/>
            </w:tcBorders>
          </w:tcPr>
          <w:p w14:paraId="69BA730C" w14:textId="77777777" w:rsidR="00625D59" w:rsidRDefault="00625D59" w:rsidP="00353B0E">
            <w:pPr>
              <w:ind w:right="259"/>
              <w:jc w:val="both"/>
              <w:rPr>
                <w:rFonts w:ascii="Calibri" w:hAnsi="Calibri" w:cs="Calibri"/>
                <w:b/>
                <w:szCs w:val="24"/>
              </w:rPr>
            </w:pPr>
            <w:r w:rsidRPr="00762FC1">
              <w:rPr>
                <w:rFonts w:ascii="Calibri" w:hAnsi="Calibri" w:cs="Calibri"/>
                <w:b/>
                <w:szCs w:val="24"/>
              </w:rPr>
              <w:t xml:space="preserve">KEY END-RESULTS </w:t>
            </w:r>
          </w:p>
          <w:p w14:paraId="30DC94B0" w14:textId="77777777" w:rsidR="00625D59" w:rsidRPr="007B67BF" w:rsidRDefault="00625D59" w:rsidP="00353B0E">
            <w:pPr>
              <w:ind w:right="259"/>
              <w:jc w:val="both"/>
              <w:rPr>
                <w:rFonts w:cs="Arial"/>
                <w:bCs/>
                <w:i/>
                <w:sz w:val="20"/>
              </w:rPr>
            </w:pPr>
          </w:p>
          <w:p w14:paraId="1940EB0C" w14:textId="77777777" w:rsidR="00625D59" w:rsidRPr="00284861" w:rsidRDefault="00625D59" w:rsidP="00625D59">
            <w:pPr>
              <w:numPr>
                <w:ilvl w:val="0"/>
                <w:numId w:val="2"/>
              </w:numPr>
              <w:ind w:right="259"/>
              <w:rPr>
                <w:rFonts w:ascii="Calibri" w:hAnsi="Calibri" w:cs="Calibri"/>
                <w:bCs/>
                <w:i/>
                <w:sz w:val="22"/>
                <w:szCs w:val="22"/>
              </w:rPr>
            </w:pPr>
            <w:r w:rsidRPr="00284861">
              <w:rPr>
                <w:rFonts w:ascii="Calibri" w:hAnsi="Calibri" w:cs="Calibri"/>
                <w:b/>
                <w:sz w:val="22"/>
                <w:szCs w:val="22"/>
              </w:rPr>
              <w:t xml:space="preserve">Reduced attrition of UNICEF Indonesia’s existing monthly donors: </w:t>
            </w:r>
            <w:r w:rsidRPr="00284861">
              <w:rPr>
                <w:rFonts w:ascii="Calibri" w:hAnsi="Calibri" w:cs="Calibri"/>
                <w:bCs/>
                <w:sz w:val="22"/>
                <w:szCs w:val="22"/>
              </w:rPr>
              <w:t>More than 55,000 donors have already decided to become a “</w:t>
            </w:r>
            <w:proofErr w:type="spellStart"/>
            <w:r w:rsidRPr="00284861">
              <w:rPr>
                <w:rFonts w:ascii="Calibri" w:hAnsi="Calibri" w:cs="Calibri"/>
                <w:bCs/>
                <w:sz w:val="22"/>
                <w:szCs w:val="22"/>
              </w:rPr>
              <w:t>Pendekar</w:t>
            </w:r>
            <w:proofErr w:type="spellEnd"/>
            <w:r w:rsidRPr="00284861">
              <w:rPr>
                <w:rFonts w:ascii="Calibri" w:hAnsi="Calibri" w:cs="Calibri"/>
                <w:bCs/>
                <w:sz w:val="22"/>
                <w:szCs w:val="22"/>
              </w:rPr>
              <w:t xml:space="preserve"> </w:t>
            </w:r>
            <w:proofErr w:type="spellStart"/>
            <w:r w:rsidRPr="00284861">
              <w:rPr>
                <w:rFonts w:ascii="Calibri" w:hAnsi="Calibri" w:cs="Calibri"/>
                <w:bCs/>
                <w:sz w:val="22"/>
                <w:szCs w:val="22"/>
              </w:rPr>
              <w:t>Anak</w:t>
            </w:r>
            <w:proofErr w:type="spellEnd"/>
            <w:r w:rsidRPr="00284861">
              <w:rPr>
                <w:rFonts w:ascii="Calibri" w:hAnsi="Calibri" w:cs="Calibri"/>
                <w:bCs/>
                <w:sz w:val="22"/>
                <w:szCs w:val="22"/>
              </w:rPr>
              <w:t xml:space="preserve">” and support UNICEF Indonesia’s work for disadvantaged children with a regular gift. Sadly, many of them drop out over time – some because they actively cancel their donation as they cannot afford it anymore, decided to support other causes, etc., but even more of them simply because their credit card expires or other technical reasons that the donor often is not even aware of. Your work will reduce this attrition, because you create inspiring donor journeys, develop effective approaches to address technical issues that may otherwise later lead to </w:t>
            </w:r>
            <w:proofErr w:type="gramStart"/>
            <w:r w:rsidRPr="00284861">
              <w:rPr>
                <w:rFonts w:ascii="Calibri" w:hAnsi="Calibri" w:cs="Calibri"/>
                <w:bCs/>
                <w:sz w:val="22"/>
                <w:szCs w:val="22"/>
              </w:rPr>
              <w:t>drop-outs</w:t>
            </w:r>
            <w:proofErr w:type="gramEnd"/>
            <w:r w:rsidRPr="00284861">
              <w:rPr>
                <w:rFonts w:ascii="Calibri" w:hAnsi="Calibri" w:cs="Calibri"/>
                <w:bCs/>
                <w:sz w:val="22"/>
                <w:szCs w:val="22"/>
              </w:rPr>
              <w:t>, and work with the donor care team to find the right conversations in the right channels to save donors.</w:t>
            </w:r>
          </w:p>
          <w:p w14:paraId="6A85ED4B" w14:textId="77777777" w:rsidR="00625D59" w:rsidRPr="00284861" w:rsidRDefault="00625D59" w:rsidP="00353B0E">
            <w:pPr>
              <w:ind w:left="360" w:right="259"/>
              <w:rPr>
                <w:rFonts w:ascii="Calibri" w:hAnsi="Calibri" w:cs="Calibri"/>
                <w:bCs/>
                <w:i/>
                <w:sz w:val="22"/>
                <w:szCs w:val="22"/>
              </w:rPr>
            </w:pPr>
          </w:p>
          <w:p w14:paraId="2EED5075" w14:textId="77777777" w:rsidR="00625D59" w:rsidRPr="002310E3" w:rsidRDefault="00625D59" w:rsidP="00625D59">
            <w:pPr>
              <w:numPr>
                <w:ilvl w:val="0"/>
                <w:numId w:val="2"/>
              </w:numPr>
              <w:rPr>
                <w:rFonts w:ascii="Calibri" w:hAnsi="Calibri"/>
                <w:b/>
                <w:bCs/>
                <w:sz w:val="22"/>
                <w:lang w:val="en-US" w:eastAsia="en-US"/>
              </w:rPr>
            </w:pPr>
            <w:r w:rsidRPr="00F43D60">
              <w:rPr>
                <w:rFonts w:ascii="Calibri" w:hAnsi="Calibri" w:cs="Calibri"/>
                <w:b/>
                <w:bCs/>
                <w:sz w:val="22"/>
                <w:szCs w:val="22"/>
              </w:rPr>
              <w:t>Increased value of monetary contributions coming from UNICEF Indonesia’s individual donors</w:t>
            </w:r>
            <w:r>
              <w:rPr>
                <w:b/>
                <w:bCs/>
              </w:rPr>
              <w:t xml:space="preserve">: </w:t>
            </w:r>
            <w:r w:rsidRPr="002310E3">
              <w:rPr>
                <w:rFonts w:ascii="Calibri" w:hAnsi="Calibri" w:cs="Calibri"/>
                <w:bCs/>
                <w:sz w:val="22"/>
                <w:szCs w:val="22"/>
              </w:rPr>
              <w:t xml:space="preserve">Donors usually sign up to support UNICEF with a standard amount. But some of them may have the potential (and the willingness!) to </w:t>
            </w:r>
            <w:proofErr w:type="gramStart"/>
            <w:r w:rsidRPr="002310E3">
              <w:rPr>
                <w:rFonts w:ascii="Calibri" w:hAnsi="Calibri" w:cs="Calibri"/>
                <w:bCs/>
                <w:sz w:val="22"/>
                <w:szCs w:val="22"/>
              </w:rPr>
              <w:t>actually donate</w:t>
            </w:r>
            <w:proofErr w:type="gramEnd"/>
            <w:r w:rsidRPr="002310E3">
              <w:rPr>
                <w:rFonts w:ascii="Calibri" w:hAnsi="Calibri" w:cs="Calibri"/>
                <w:bCs/>
                <w:sz w:val="22"/>
                <w:szCs w:val="22"/>
              </w:rPr>
              <w:t xml:space="preserve"> more. Your work helps our team to ask them in a compelling way at the right moment with the right inspiring message.</w:t>
            </w:r>
            <w:r w:rsidRPr="002310E3">
              <w:rPr>
                <w:rFonts w:cs="Arial"/>
                <w:bCs/>
                <w:sz w:val="20"/>
              </w:rPr>
              <w:t xml:space="preserve"> </w:t>
            </w:r>
          </w:p>
          <w:p w14:paraId="613455CB" w14:textId="77777777" w:rsidR="00625D59" w:rsidRPr="00931F39" w:rsidRDefault="00625D59" w:rsidP="00353B0E">
            <w:pPr>
              <w:ind w:right="259"/>
              <w:rPr>
                <w:rFonts w:cs="Arial"/>
                <w:i/>
                <w:sz w:val="20"/>
              </w:rPr>
            </w:pPr>
          </w:p>
        </w:tc>
      </w:tr>
      <w:tr w:rsidR="00625D59" w:rsidRPr="00762FC1" w14:paraId="79BC11BA" w14:textId="77777777" w:rsidTr="00353B0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c>
          <w:tcPr>
            <w:tcW w:w="10170" w:type="dxa"/>
            <w:gridSpan w:val="2"/>
            <w:tcBorders>
              <w:left w:val="double" w:sz="4" w:space="0" w:color="auto"/>
              <w:right w:val="double" w:sz="4" w:space="0" w:color="auto"/>
            </w:tcBorders>
          </w:tcPr>
          <w:p w14:paraId="4949B3A0" w14:textId="77777777" w:rsidR="00625D59" w:rsidRPr="00762FC1" w:rsidRDefault="00625D59" w:rsidP="00353B0E">
            <w:pPr>
              <w:spacing w:before="240" w:after="120"/>
              <w:ind w:right="259"/>
              <w:jc w:val="both"/>
              <w:rPr>
                <w:rFonts w:ascii="Calibri" w:hAnsi="Calibri" w:cs="Calibri"/>
                <w:b/>
                <w:szCs w:val="24"/>
              </w:rPr>
            </w:pPr>
            <w:r w:rsidRPr="00762FC1">
              <w:rPr>
                <w:rFonts w:ascii="Calibri" w:hAnsi="Calibri" w:cs="Calibri"/>
                <w:b/>
                <w:szCs w:val="24"/>
              </w:rPr>
              <w:t xml:space="preserve">KEY ACCOUNTABILITIES and DUTIES &amp; TASKS  </w:t>
            </w:r>
          </w:p>
          <w:p w14:paraId="2B7CDA11" w14:textId="77777777" w:rsidR="00625D59" w:rsidRPr="00931F39" w:rsidRDefault="00625D59" w:rsidP="00625D59">
            <w:pPr>
              <w:pStyle w:val="ListParagraph"/>
              <w:numPr>
                <w:ilvl w:val="0"/>
                <w:numId w:val="3"/>
              </w:numPr>
              <w:spacing w:after="0" w:line="240" w:lineRule="auto"/>
              <w:jc w:val="both"/>
              <w:rPr>
                <w:rFonts w:cs="Calibri"/>
              </w:rPr>
            </w:pPr>
            <w:r w:rsidRPr="00931F39">
              <w:rPr>
                <w:rFonts w:cs="Calibri"/>
                <w:iCs/>
              </w:rPr>
              <w:t>Reporting directly to the Head of Individual Fundraising, you</w:t>
            </w:r>
            <w:r w:rsidRPr="00931F39">
              <w:rPr>
                <w:rFonts w:cs="Calibri"/>
              </w:rPr>
              <w:t xml:space="preserve"> focus on retaining, cross-selling, and upgrading individual donors (especially pledge donors) to grow un-earmarked funds for the country </w:t>
            </w:r>
            <w:proofErr w:type="spellStart"/>
            <w:r w:rsidRPr="00931F39">
              <w:rPr>
                <w:rFonts w:cs="Calibri"/>
              </w:rPr>
              <w:t>programme</w:t>
            </w:r>
            <w:proofErr w:type="spellEnd"/>
            <w:r w:rsidRPr="00931F39">
              <w:rPr>
                <w:rFonts w:cs="Calibri"/>
              </w:rPr>
              <w:t xml:space="preserve"> as per agreed targets.</w:t>
            </w:r>
          </w:p>
          <w:p w14:paraId="6FC688F4" w14:textId="77777777" w:rsidR="00625D59" w:rsidRPr="00931F39" w:rsidRDefault="00625D59" w:rsidP="00625D59">
            <w:pPr>
              <w:pStyle w:val="ListParagraph"/>
              <w:numPr>
                <w:ilvl w:val="0"/>
                <w:numId w:val="3"/>
              </w:numPr>
              <w:spacing w:after="0" w:line="240" w:lineRule="auto"/>
              <w:jc w:val="both"/>
              <w:rPr>
                <w:rFonts w:cs="Calibri"/>
              </w:rPr>
            </w:pPr>
            <w:r w:rsidRPr="00931F39">
              <w:rPr>
                <w:rFonts w:cs="Calibri"/>
              </w:rPr>
              <w:t xml:space="preserve">Closely collaborate with the acquisition and donor content team to create an excellent donor experience from the point of sign-up to retention and upgrade. </w:t>
            </w:r>
          </w:p>
          <w:p w14:paraId="2E80DD1F" w14:textId="77777777" w:rsidR="00625D59" w:rsidRPr="00931F39" w:rsidRDefault="00625D59" w:rsidP="00625D59">
            <w:pPr>
              <w:pStyle w:val="ListParagraph"/>
              <w:numPr>
                <w:ilvl w:val="0"/>
                <w:numId w:val="3"/>
              </w:numPr>
              <w:spacing w:after="0" w:line="240" w:lineRule="auto"/>
              <w:jc w:val="both"/>
              <w:rPr>
                <w:rFonts w:cs="Calibri"/>
              </w:rPr>
            </w:pPr>
            <w:r w:rsidRPr="00931F39">
              <w:rPr>
                <w:rFonts w:cs="Calibri"/>
              </w:rPr>
              <w:t xml:space="preserve">Develop an inspiring donor journey for existing donors (both pledge and cash), by focusing on audience-led communication and the powerful impact of pledge giving. </w:t>
            </w:r>
          </w:p>
          <w:p w14:paraId="20AFB811" w14:textId="77777777" w:rsidR="00625D59" w:rsidRPr="00931F39" w:rsidRDefault="00625D59" w:rsidP="00625D59">
            <w:pPr>
              <w:pStyle w:val="ListParagraph"/>
              <w:numPr>
                <w:ilvl w:val="0"/>
                <w:numId w:val="3"/>
              </w:numPr>
              <w:spacing w:after="0" w:line="240" w:lineRule="auto"/>
              <w:jc w:val="both"/>
              <w:rPr>
                <w:rFonts w:cs="Calibri"/>
              </w:rPr>
            </w:pPr>
            <w:r w:rsidRPr="00931F39">
              <w:rPr>
                <w:rFonts w:cs="Calibri"/>
              </w:rPr>
              <w:lastRenderedPageBreak/>
              <w:t xml:space="preserve">Formulating cross-platform content strategy to communicate with donors beyond the traditional channels, i.e.; WhatsApp, social media, etc. </w:t>
            </w:r>
          </w:p>
          <w:p w14:paraId="10353ACC" w14:textId="77777777" w:rsidR="00625D59" w:rsidRPr="00931F39" w:rsidRDefault="00625D59" w:rsidP="00625D59">
            <w:pPr>
              <w:pStyle w:val="ListParagraph"/>
              <w:numPr>
                <w:ilvl w:val="0"/>
                <w:numId w:val="3"/>
              </w:numPr>
              <w:spacing w:after="0" w:line="240" w:lineRule="auto"/>
              <w:jc w:val="both"/>
              <w:rPr>
                <w:rFonts w:cs="Calibri"/>
              </w:rPr>
            </w:pPr>
            <w:r w:rsidRPr="00931F39">
              <w:rPr>
                <w:rFonts w:cs="Calibri"/>
              </w:rPr>
              <w:t>Support the supervisor and the Chief of Fundraising in making decisions by providing analytical reports and evidence-based recommendations for your area of work and beyond.</w:t>
            </w:r>
          </w:p>
          <w:p w14:paraId="651D56AF" w14:textId="77777777" w:rsidR="00625D59" w:rsidRPr="00931F39" w:rsidRDefault="00625D59" w:rsidP="00625D59">
            <w:pPr>
              <w:pStyle w:val="ListParagraph"/>
              <w:numPr>
                <w:ilvl w:val="0"/>
                <w:numId w:val="3"/>
              </w:numPr>
              <w:spacing w:after="0" w:line="240" w:lineRule="auto"/>
              <w:jc w:val="both"/>
              <w:rPr>
                <w:rFonts w:cs="Calibri"/>
              </w:rPr>
            </w:pPr>
            <w:r w:rsidRPr="00931F39">
              <w:rPr>
                <w:rFonts w:cs="Calibri"/>
              </w:rPr>
              <w:t xml:space="preserve">Contribute to relevant planning, monitoring and reporting to the Chief of Fundraising, Regional Office and Headquarters. </w:t>
            </w:r>
          </w:p>
          <w:p w14:paraId="319368B8" w14:textId="77777777" w:rsidR="00625D59" w:rsidRPr="00931F39" w:rsidRDefault="00625D59" w:rsidP="00625D59">
            <w:pPr>
              <w:numPr>
                <w:ilvl w:val="0"/>
                <w:numId w:val="3"/>
              </w:numPr>
              <w:jc w:val="both"/>
              <w:rPr>
                <w:rFonts w:ascii="Calibri" w:hAnsi="Calibri" w:cs="Calibri"/>
                <w:sz w:val="22"/>
                <w:szCs w:val="22"/>
              </w:rPr>
            </w:pPr>
            <w:r w:rsidRPr="00931F39">
              <w:rPr>
                <w:rFonts w:ascii="Calibri" w:hAnsi="Calibri" w:cs="Calibri"/>
                <w:sz w:val="22"/>
                <w:szCs w:val="22"/>
              </w:rPr>
              <w:t>Collaborate with peers in other UNICEF offices across the world, Regional Office and Headquarters to identify successful approaches and best practices to guide our work in Indonesia – including the test of innovative approaches that have or have not worked elsewhere.</w:t>
            </w:r>
          </w:p>
          <w:p w14:paraId="7F2518F5" w14:textId="77777777" w:rsidR="00625D59" w:rsidRPr="00931F39" w:rsidRDefault="00625D59" w:rsidP="00625D59">
            <w:pPr>
              <w:pStyle w:val="BodyTextIndent"/>
              <w:numPr>
                <w:ilvl w:val="0"/>
                <w:numId w:val="3"/>
              </w:numPr>
              <w:jc w:val="both"/>
              <w:rPr>
                <w:rFonts w:ascii="Calibri" w:hAnsi="Calibri" w:cs="Calibri"/>
                <w:sz w:val="22"/>
                <w:szCs w:val="22"/>
              </w:rPr>
            </w:pPr>
            <w:r w:rsidRPr="00931F39">
              <w:rPr>
                <w:rFonts w:ascii="Calibri" w:hAnsi="Calibri" w:cs="Calibri"/>
                <w:sz w:val="22"/>
                <w:szCs w:val="22"/>
              </w:rPr>
              <w:t xml:space="preserve">Manage external service providers and other partners for your area of work. This includes responsibility for the relevant procurement and contracting processes, budgeting, and the payment of invoices. </w:t>
            </w:r>
          </w:p>
          <w:p w14:paraId="4D3B5F19" w14:textId="77777777" w:rsidR="00625D59" w:rsidRPr="00762FC1" w:rsidRDefault="00625D59" w:rsidP="00353B0E">
            <w:pPr>
              <w:pStyle w:val="BodyTextIndent"/>
              <w:ind w:left="0"/>
              <w:jc w:val="both"/>
              <w:rPr>
                <w:rFonts w:ascii="Calibri" w:hAnsi="Calibri" w:cs="Calibri"/>
                <w:szCs w:val="24"/>
              </w:rPr>
            </w:pPr>
          </w:p>
        </w:tc>
      </w:tr>
      <w:tr w:rsidR="00625D59" w:rsidRPr="007B67BF" w14:paraId="6413382D" w14:textId="77777777" w:rsidTr="00353B0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trHeight w:val="863"/>
        </w:trPr>
        <w:tc>
          <w:tcPr>
            <w:tcW w:w="10170" w:type="dxa"/>
            <w:gridSpan w:val="2"/>
            <w:tcBorders>
              <w:left w:val="double" w:sz="4" w:space="0" w:color="auto"/>
              <w:right w:val="double" w:sz="4" w:space="0" w:color="auto"/>
            </w:tcBorders>
          </w:tcPr>
          <w:p w14:paraId="3F010FFF" w14:textId="77777777" w:rsidR="00625D59" w:rsidRPr="008C3518" w:rsidRDefault="00625D59" w:rsidP="00353B0E">
            <w:pPr>
              <w:tabs>
                <w:tab w:val="left" w:pos="792"/>
              </w:tabs>
              <w:ind w:left="72" w:hanging="72"/>
              <w:jc w:val="both"/>
              <w:rPr>
                <w:rFonts w:ascii="Calibri" w:hAnsi="Calibri" w:cs="Calibri"/>
                <w:b/>
                <w:snapToGrid w:val="0"/>
                <w:sz w:val="22"/>
                <w:szCs w:val="22"/>
              </w:rPr>
            </w:pPr>
            <w:r w:rsidRPr="008C3518">
              <w:rPr>
                <w:rFonts w:ascii="Calibri" w:hAnsi="Calibri" w:cs="Calibri"/>
                <w:b/>
                <w:snapToGrid w:val="0"/>
                <w:sz w:val="22"/>
                <w:szCs w:val="22"/>
              </w:rPr>
              <w:lastRenderedPageBreak/>
              <w:t>COMPETENCIES AND LEVEL OF PROFIENCY REQUIRED (Based on UNICEF Competencies Profile)</w:t>
            </w:r>
          </w:p>
          <w:p w14:paraId="26CF7431" w14:textId="77777777" w:rsidR="00625D59" w:rsidRPr="008C3518" w:rsidRDefault="00625D59" w:rsidP="00353B0E">
            <w:pPr>
              <w:autoSpaceDE w:val="0"/>
              <w:autoSpaceDN w:val="0"/>
              <w:adjustRightInd w:val="0"/>
              <w:rPr>
                <w:rFonts w:ascii="Calibri" w:hAnsi="Calibri" w:cs="Calibri"/>
                <w:b/>
                <w:bCs/>
                <w:sz w:val="22"/>
                <w:szCs w:val="22"/>
                <w:u w:val="single"/>
                <w:lang w:val="en-US" w:eastAsia="en-US"/>
              </w:rPr>
            </w:pPr>
            <w:r w:rsidRPr="008C3518">
              <w:rPr>
                <w:rFonts w:ascii="Calibri" w:hAnsi="Calibri" w:cs="Calibri"/>
                <w:b/>
                <w:bCs/>
                <w:sz w:val="22"/>
                <w:szCs w:val="22"/>
                <w:u w:val="single"/>
                <w:lang w:val="en-US" w:eastAsia="en-US"/>
              </w:rPr>
              <w:t>Core Values</w:t>
            </w:r>
          </w:p>
          <w:p w14:paraId="7FA94B5F" w14:textId="77777777" w:rsidR="00625D59" w:rsidRPr="008C3518" w:rsidRDefault="00625D59" w:rsidP="00625D59">
            <w:pPr>
              <w:numPr>
                <w:ilvl w:val="0"/>
                <w:numId w:val="5"/>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Care</w:t>
            </w:r>
          </w:p>
          <w:p w14:paraId="1CBD77F8" w14:textId="77777777" w:rsidR="00625D59" w:rsidRPr="008C3518" w:rsidRDefault="00625D59" w:rsidP="00625D59">
            <w:pPr>
              <w:numPr>
                <w:ilvl w:val="0"/>
                <w:numId w:val="5"/>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Respect</w:t>
            </w:r>
          </w:p>
          <w:p w14:paraId="2BB033B2" w14:textId="77777777" w:rsidR="00625D59" w:rsidRPr="008C3518" w:rsidRDefault="00625D59" w:rsidP="00625D59">
            <w:pPr>
              <w:numPr>
                <w:ilvl w:val="0"/>
                <w:numId w:val="5"/>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Integrity</w:t>
            </w:r>
          </w:p>
          <w:p w14:paraId="21BBFBE6" w14:textId="77777777" w:rsidR="00625D59" w:rsidRPr="008C3518" w:rsidRDefault="00625D59" w:rsidP="00625D59">
            <w:pPr>
              <w:numPr>
                <w:ilvl w:val="0"/>
                <w:numId w:val="5"/>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Trust</w:t>
            </w:r>
          </w:p>
          <w:p w14:paraId="43BB5DED" w14:textId="77777777" w:rsidR="00625D59" w:rsidRPr="008C3518" w:rsidRDefault="00625D59" w:rsidP="00625D59">
            <w:pPr>
              <w:numPr>
                <w:ilvl w:val="0"/>
                <w:numId w:val="5"/>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Accountability</w:t>
            </w:r>
          </w:p>
          <w:p w14:paraId="060F2FDB" w14:textId="77777777" w:rsidR="00625D59" w:rsidRPr="008C3518" w:rsidRDefault="00625D59" w:rsidP="00353B0E">
            <w:pPr>
              <w:autoSpaceDE w:val="0"/>
              <w:autoSpaceDN w:val="0"/>
              <w:adjustRightInd w:val="0"/>
              <w:rPr>
                <w:rFonts w:ascii="Calibri" w:hAnsi="Calibri" w:cs="Calibri"/>
                <w:b/>
                <w:bCs/>
                <w:sz w:val="22"/>
                <w:szCs w:val="22"/>
                <w:u w:val="single"/>
                <w:lang w:val="en-US" w:eastAsia="en-US"/>
              </w:rPr>
            </w:pPr>
            <w:r w:rsidRPr="008C3518">
              <w:rPr>
                <w:rFonts w:ascii="Calibri" w:hAnsi="Calibri" w:cs="Calibri"/>
                <w:b/>
                <w:bCs/>
                <w:sz w:val="22"/>
                <w:szCs w:val="22"/>
                <w:u w:val="single"/>
                <w:lang w:val="en-US" w:eastAsia="en-US"/>
              </w:rPr>
              <w:t>Core Competencies</w:t>
            </w:r>
          </w:p>
          <w:p w14:paraId="0FABA779"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Nurtures, Leads and Manages People (1)</w:t>
            </w:r>
          </w:p>
          <w:p w14:paraId="4744884D"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Demonstrates Self Awareness and Ethical Awareness (1)</w:t>
            </w:r>
          </w:p>
          <w:p w14:paraId="2B2DC66B"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Works Collaboratively with others (1)</w:t>
            </w:r>
          </w:p>
          <w:p w14:paraId="1621C58C"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Builds and Maintains Partnerships (1)</w:t>
            </w:r>
          </w:p>
          <w:p w14:paraId="28A45B0F"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Innovates and Embraces Change (1)</w:t>
            </w:r>
          </w:p>
          <w:p w14:paraId="44462810"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Thinks and Acts Strategically (1)</w:t>
            </w:r>
          </w:p>
          <w:p w14:paraId="527BD0F1"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Drives to achieve impactful results (1)</w:t>
            </w:r>
          </w:p>
          <w:p w14:paraId="730B934D" w14:textId="77777777" w:rsidR="00625D59" w:rsidRPr="008C3518" w:rsidRDefault="00625D59" w:rsidP="00625D59">
            <w:pPr>
              <w:numPr>
                <w:ilvl w:val="0"/>
                <w:numId w:val="6"/>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Manages ambiguity and complexity (1)</w:t>
            </w:r>
          </w:p>
          <w:p w14:paraId="1E1EE471" w14:textId="77777777" w:rsidR="00625D59" w:rsidRPr="008C3518" w:rsidRDefault="00625D59" w:rsidP="00353B0E">
            <w:pPr>
              <w:autoSpaceDE w:val="0"/>
              <w:autoSpaceDN w:val="0"/>
              <w:adjustRightInd w:val="0"/>
              <w:rPr>
                <w:rFonts w:ascii="Calibri" w:hAnsi="Calibri" w:cs="Calibri"/>
                <w:b/>
                <w:bCs/>
                <w:sz w:val="22"/>
                <w:szCs w:val="22"/>
                <w:u w:val="single"/>
                <w:lang w:val="en-US" w:eastAsia="en-US"/>
              </w:rPr>
            </w:pPr>
            <w:r w:rsidRPr="008C3518">
              <w:rPr>
                <w:rFonts w:ascii="Calibri" w:hAnsi="Calibri" w:cs="Calibri"/>
                <w:b/>
                <w:bCs/>
                <w:sz w:val="22"/>
                <w:szCs w:val="22"/>
                <w:u w:val="single"/>
                <w:lang w:val="en-US" w:eastAsia="en-US"/>
              </w:rPr>
              <w:t>Functional Competencies</w:t>
            </w:r>
          </w:p>
          <w:p w14:paraId="222E7315" w14:textId="77777777" w:rsidR="00625D59" w:rsidRPr="008C3518" w:rsidRDefault="00625D59" w:rsidP="00625D59">
            <w:pPr>
              <w:numPr>
                <w:ilvl w:val="0"/>
                <w:numId w:val="7"/>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Analyzing (2)</w:t>
            </w:r>
          </w:p>
          <w:p w14:paraId="6B01B0A9" w14:textId="77777777" w:rsidR="00625D59" w:rsidRPr="008C3518" w:rsidRDefault="00625D59" w:rsidP="00625D59">
            <w:pPr>
              <w:numPr>
                <w:ilvl w:val="0"/>
                <w:numId w:val="7"/>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Applying technical expertise (2)</w:t>
            </w:r>
          </w:p>
          <w:p w14:paraId="3AE340E6" w14:textId="77777777" w:rsidR="00625D59" w:rsidRPr="008C3518" w:rsidRDefault="00625D59" w:rsidP="00625D59">
            <w:pPr>
              <w:numPr>
                <w:ilvl w:val="0"/>
                <w:numId w:val="7"/>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Learning and researching (2)</w:t>
            </w:r>
          </w:p>
          <w:p w14:paraId="3B3D9AFC" w14:textId="77777777" w:rsidR="00625D59" w:rsidRPr="008C3518" w:rsidRDefault="00625D59" w:rsidP="00625D59">
            <w:pPr>
              <w:numPr>
                <w:ilvl w:val="0"/>
                <w:numId w:val="7"/>
              </w:numPr>
              <w:autoSpaceDE w:val="0"/>
              <w:autoSpaceDN w:val="0"/>
              <w:adjustRightInd w:val="0"/>
              <w:rPr>
                <w:rFonts w:ascii="Calibri" w:hAnsi="Calibri" w:cs="Calibri"/>
                <w:sz w:val="22"/>
                <w:szCs w:val="22"/>
                <w:lang w:val="en-US" w:eastAsia="en-US"/>
              </w:rPr>
            </w:pPr>
            <w:r w:rsidRPr="008C3518">
              <w:rPr>
                <w:rFonts w:ascii="Calibri" w:hAnsi="Calibri" w:cs="Calibri"/>
                <w:sz w:val="22"/>
                <w:szCs w:val="22"/>
                <w:lang w:val="en-US" w:eastAsia="en-US"/>
              </w:rPr>
              <w:t>Planning and organizing (2)</w:t>
            </w:r>
          </w:p>
          <w:p w14:paraId="456F90CF" w14:textId="77777777" w:rsidR="00625D59" w:rsidRPr="00762FC1" w:rsidRDefault="00625D59" w:rsidP="00353B0E">
            <w:pPr>
              <w:widowControl w:val="0"/>
              <w:autoSpaceDE w:val="0"/>
              <w:autoSpaceDN w:val="0"/>
              <w:adjustRightInd w:val="0"/>
              <w:jc w:val="both"/>
              <w:rPr>
                <w:rFonts w:ascii="Calibri" w:hAnsi="Calibri" w:cs="Calibri"/>
                <w:szCs w:val="24"/>
              </w:rPr>
            </w:pPr>
          </w:p>
        </w:tc>
      </w:tr>
      <w:tr w:rsidR="00625D59" w:rsidRPr="00762FC1" w14:paraId="0379B52C" w14:textId="77777777" w:rsidTr="00353B0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c>
          <w:tcPr>
            <w:tcW w:w="10170" w:type="dxa"/>
            <w:gridSpan w:val="2"/>
            <w:tcBorders>
              <w:top w:val="single" w:sz="4" w:space="0" w:color="auto"/>
              <w:left w:val="double" w:sz="4" w:space="0" w:color="auto"/>
              <w:bottom w:val="single" w:sz="4" w:space="0" w:color="auto"/>
              <w:right w:val="double" w:sz="4" w:space="0" w:color="auto"/>
            </w:tcBorders>
          </w:tcPr>
          <w:p w14:paraId="505F1487" w14:textId="77777777" w:rsidR="00625D59" w:rsidRPr="00762FC1" w:rsidRDefault="00625D59" w:rsidP="00353B0E">
            <w:pPr>
              <w:spacing w:before="120" w:after="120"/>
              <w:jc w:val="both"/>
              <w:rPr>
                <w:rFonts w:ascii="Calibri" w:hAnsi="Calibri" w:cs="Calibri"/>
                <w:b/>
                <w:szCs w:val="24"/>
              </w:rPr>
            </w:pPr>
            <w:r>
              <w:rPr>
                <w:rFonts w:ascii="Calibri" w:hAnsi="Calibri" w:cs="Calibri"/>
                <w:b/>
                <w:szCs w:val="24"/>
              </w:rPr>
              <w:t>REQUIREMENT QUALIFICATIONS</w:t>
            </w:r>
            <w:r w:rsidRPr="00762FC1">
              <w:rPr>
                <w:rFonts w:ascii="Calibri" w:hAnsi="Calibri" w:cs="Calibri"/>
                <w:b/>
                <w:szCs w:val="24"/>
              </w:rPr>
              <w:t xml:space="preserve"> (</w:t>
            </w:r>
            <w:proofErr w:type="gramStart"/>
            <w:r w:rsidRPr="00762FC1">
              <w:rPr>
                <w:rFonts w:ascii="Calibri" w:hAnsi="Calibri" w:cs="Calibri"/>
                <w:szCs w:val="24"/>
              </w:rPr>
              <w:t>[  ]</w:t>
            </w:r>
            <w:proofErr w:type="gramEnd"/>
            <w:r w:rsidRPr="00762FC1">
              <w:rPr>
                <w:rFonts w:ascii="Calibri" w:hAnsi="Calibri" w:cs="Calibri"/>
                <w:szCs w:val="24"/>
              </w:rPr>
              <w:t xml:space="preserve"> indicates the level of proficiency required for the job.)</w:t>
            </w:r>
          </w:p>
          <w:p w14:paraId="6AA35462" w14:textId="77777777" w:rsidR="00625D59" w:rsidRPr="008C3518" w:rsidRDefault="00625D59" w:rsidP="00353B0E">
            <w:pPr>
              <w:numPr>
                <w:ilvl w:val="0"/>
                <w:numId w:val="1"/>
              </w:numPr>
              <w:spacing w:before="120"/>
              <w:ind w:right="-360"/>
              <w:jc w:val="both"/>
              <w:rPr>
                <w:rFonts w:ascii="Calibri" w:hAnsi="Calibri" w:cs="Calibri"/>
                <w:b/>
                <w:sz w:val="22"/>
                <w:szCs w:val="22"/>
              </w:rPr>
            </w:pPr>
            <w:r w:rsidRPr="008C3518">
              <w:rPr>
                <w:rFonts w:ascii="Calibri" w:hAnsi="Calibri" w:cs="Calibri"/>
                <w:b/>
                <w:sz w:val="22"/>
                <w:szCs w:val="22"/>
                <w:u w:val="single"/>
              </w:rPr>
              <w:t xml:space="preserve">Education </w:t>
            </w:r>
          </w:p>
          <w:p w14:paraId="16E92F89" w14:textId="77777777" w:rsidR="00625D59" w:rsidRDefault="00625D59" w:rsidP="00353B0E">
            <w:pPr>
              <w:ind w:left="720"/>
              <w:jc w:val="both"/>
              <w:rPr>
                <w:rFonts w:ascii="Calibri" w:hAnsi="Calibri" w:cs="Calibri"/>
                <w:sz w:val="22"/>
                <w:szCs w:val="22"/>
              </w:rPr>
            </w:pPr>
            <w:r w:rsidRPr="008C3518">
              <w:rPr>
                <w:rFonts w:ascii="Calibri" w:hAnsi="Calibri" w:cs="Calibri"/>
                <w:sz w:val="22"/>
                <w:szCs w:val="22"/>
              </w:rPr>
              <w:t>Bachelor’s Degree and/or relevant professional qualifications in Fundraising, Business Administration, Marketing, Management, Communications or related subject.</w:t>
            </w:r>
          </w:p>
          <w:p w14:paraId="0AD15EE2" w14:textId="77777777" w:rsidR="00625D59" w:rsidRPr="008C3518" w:rsidRDefault="00625D59" w:rsidP="00353B0E">
            <w:pPr>
              <w:ind w:left="720"/>
              <w:jc w:val="both"/>
              <w:rPr>
                <w:rFonts w:ascii="Calibri" w:hAnsi="Calibri" w:cs="Calibri"/>
                <w:sz w:val="22"/>
                <w:szCs w:val="22"/>
              </w:rPr>
            </w:pPr>
          </w:p>
          <w:p w14:paraId="1D31BBDA" w14:textId="77777777" w:rsidR="00625D59" w:rsidRPr="008C3518" w:rsidRDefault="00625D59" w:rsidP="00353B0E">
            <w:pPr>
              <w:numPr>
                <w:ilvl w:val="0"/>
                <w:numId w:val="1"/>
              </w:numPr>
              <w:ind w:right="-360"/>
              <w:jc w:val="both"/>
              <w:rPr>
                <w:rFonts w:ascii="Calibri" w:hAnsi="Calibri" w:cs="Calibri"/>
                <w:b/>
                <w:sz w:val="22"/>
                <w:szCs w:val="22"/>
              </w:rPr>
            </w:pPr>
            <w:r w:rsidRPr="008C3518">
              <w:rPr>
                <w:rFonts w:ascii="Calibri" w:hAnsi="Calibri" w:cs="Calibri"/>
                <w:b/>
                <w:sz w:val="22"/>
                <w:szCs w:val="22"/>
                <w:u w:val="single"/>
              </w:rPr>
              <w:t>Work Experience</w:t>
            </w:r>
          </w:p>
          <w:p w14:paraId="18005312"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 xml:space="preserve">Minimum </w:t>
            </w:r>
            <w:proofErr w:type="gramStart"/>
            <w:r w:rsidRPr="008C3518">
              <w:rPr>
                <w:rFonts w:ascii="Calibri" w:hAnsi="Calibri" w:cs="Calibri"/>
                <w:sz w:val="22"/>
                <w:szCs w:val="22"/>
                <w:lang w:val="en-GB"/>
              </w:rPr>
              <w:t>one year</w:t>
            </w:r>
            <w:proofErr w:type="gramEnd"/>
            <w:r w:rsidRPr="008C3518">
              <w:rPr>
                <w:rFonts w:ascii="Calibri" w:hAnsi="Calibri" w:cs="Calibri"/>
                <w:sz w:val="22"/>
                <w:szCs w:val="22"/>
                <w:lang w:val="en-GB"/>
              </w:rPr>
              <w:t xml:space="preserve"> professional experience in copy writing, content management, customer experience or other relevant work experience </w:t>
            </w:r>
            <w:r w:rsidRPr="008C3518">
              <w:rPr>
                <w:rFonts w:ascii="Calibri" w:hAnsi="Calibri" w:cs="Calibri"/>
                <w:sz w:val="22"/>
                <w:szCs w:val="22"/>
              </w:rPr>
              <w:t>with particular focus on fundraising / marketing / communication activities.</w:t>
            </w:r>
          </w:p>
          <w:p w14:paraId="5F7F87D8"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Experience in managing customer / audience loyalty programme</w:t>
            </w:r>
          </w:p>
          <w:p w14:paraId="3A8B4D0D"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 xml:space="preserve">Experience in managing agencies or have agency work experience.    </w:t>
            </w:r>
          </w:p>
          <w:p w14:paraId="0D17AE90" w14:textId="77777777" w:rsidR="00625D59" w:rsidRPr="008C3518" w:rsidRDefault="00625D59" w:rsidP="00353B0E">
            <w:pPr>
              <w:pStyle w:val="BodyTextIndent"/>
              <w:ind w:left="1155"/>
              <w:rPr>
                <w:rFonts w:ascii="Calibri" w:hAnsi="Calibri" w:cs="Calibri"/>
                <w:sz w:val="22"/>
                <w:szCs w:val="22"/>
              </w:rPr>
            </w:pPr>
          </w:p>
          <w:p w14:paraId="60907EB0" w14:textId="77777777" w:rsidR="00625D59" w:rsidRPr="008C3518" w:rsidRDefault="00625D59" w:rsidP="00353B0E">
            <w:pPr>
              <w:pStyle w:val="BodyTextIndent"/>
              <w:numPr>
                <w:ilvl w:val="0"/>
                <w:numId w:val="1"/>
              </w:numPr>
              <w:rPr>
                <w:rFonts w:ascii="Calibri" w:hAnsi="Calibri" w:cs="Calibri"/>
                <w:b/>
                <w:bCs/>
                <w:sz w:val="22"/>
                <w:szCs w:val="22"/>
                <w:u w:val="single"/>
              </w:rPr>
            </w:pPr>
            <w:r w:rsidRPr="008C3518">
              <w:rPr>
                <w:rFonts w:ascii="Calibri" w:hAnsi="Calibri" w:cs="Calibri"/>
                <w:b/>
                <w:bCs/>
                <w:sz w:val="22"/>
                <w:szCs w:val="22"/>
                <w:u w:val="single"/>
                <w:lang w:val="en-GB"/>
              </w:rPr>
              <w:lastRenderedPageBreak/>
              <w:t>Key Competencies</w:t>
            </w:r>
          </w:p>
          <w:p w14:paraId="2258FE81"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Excellent knowledge on audience mapping and audience-led communication</w:t>
            </w:r>
          </w:p>
          <w:p w14:paraId="4B28692A"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Excellent in content management and customer experience</w:t>
            </w:r>
          </w:p>
          <w:p w14:paraId="685742FA"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 xml:space="preserve">Proficient in Ms Office (Word, Excel, and PPT) </w:t>
            </w:r>
          </w:p>
          <w:p w14:paraId="76B15F09"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Ability to manage a complex and diverse collaboration across organization</w:t>
            </w:r>
          </w:p>
          <w:p w14:paraId="0D97E3E5"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Self-motivated, maintain a positive mindset, and professional approach to work</w:t>
            </w:r>
          </w:p>
          <w:p w14:paraId="170E72FA"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Attention to detail</w:t>
            </w:r>
          </w:p>
          <w:p w14:paraId="205DAFCC" w14:textId="77777777" w:rsidR="00625D59" w:rsidRPr="008C3518" w:rsidRDefault="00625D59" w:rsidP="00625D59">
            <w:pPr>
              <w:pStyle w:val="BodyTextIndent"/>
              <w:numPr>
                <w:ilvl w:val="0"/>
                <w:numId w:val="4"/>
              </w:numPr>
              <w:ind w:left="1155"/>
              <w:rPr>
                <w:rFonts w:ascii="Calibri" w:hAnsi="Calibri" w:cs="Calibri"/>
                <w:sz w:val="22"/>
                <w:szCs w:val="22"/>
              </w:rPr>
            </w:pPr>
            <w:r w:rsidRPr="008C3518">
              <w:rPr>
                <w:rFonts w:ascii="Calibri" w:hAnsi="Calibri" w:cs="Calibri"/>
                <w:sz w:val="22"/>
                <w:szCs w:val="22"/>
                <w:lang w:val="en-GB"/>
              </w:rPr>
              <w:t>Knowledge on fundraising is highly desirable</w:t>
            </w:r>
          </w:p>
          <w:p w14:paraId="452DE9D2" w14:textId="77777777" w:rsidR="00625D59" w:rsidRPr="008C3518" w:rsidRDefault="00625D59" w:rsidP="00353B0E">
            <w:pPr>
              <w:numPr>
                <w:ilvl w:val="0"/>
                <w:numId w:val="1"/>
              </w:numPr>
              <w:ind w:right="-360"/>
              <w:jc w:val="both"/>
              <w:rPr>
                <w:rFonts w:ascii="Calibri" w:hAnsi="Calibri" w:cs="Calibri"/>
                <w:b/>
                <w:sz w:val="22"/>
                <w:szCs w:val="22"/>
              </w:rPr>
            </w:pPr>
            <w:r w:rsidRPr="008C3518">
              <w:rPr>
                <w:rFonts w:ascii="Calibri" w:hAnsi="Calibri" w:cs="Calibri"/>
                <w:b/>
                <w:sz w:val="22"/>
                <w:szCs w:val="22"/>
                <w:u w:val="single"/>
              </w:rPr>
              <w:t>Language Proficiency</w:t>
            </w:r>
            <w:r w:rsidRPr="008C3518">
              <w:rPr>
                <w:rFonts w:ascii="Calibri" w:hAnsi="Calibri" w:cs="Calibri"/>
                <w:b/>
                <w:sz w:val="22"/>
                <w:szCs w:val="22"/>
              </w:rPr>
              <w:t xml:space="preserve"> </w:t>
            </w:r>
          </w:p>
          <w:p w14:paraId="0D6FE66C" w14:textId="77777777" w:rsidR="00625D59" w:rsidRPr="008C3518" w:rsidRDefault="00625D59" w:rsidP="00353B0E">
            <w:pPr>
              <w:ind w:left="765" w:right="-360"/>
              <w:jc w:val="both"/>
              <w:rPr>
                <w:rFonts w:ascii="Calibri" w:hAnsi="Calibri" w:cs="Calibri"/>
                <w:sz w:val="22"/>
                <w:szCs w:val="22"/>
                <w:lang w:val="en-US" w:eastAsia="en-US"/>
              </w:rPr>
            </w:pPr>
            <w:r w:rsidRPr="008C3518">
              <w:rPr>
                <w:rFonts w:ascii="Calibri" w:hAnsi="Calibri" w:cs="Calibri"/>
                <w:sz w:val="22"/>
                <w:szCs w:val="22"/>
                <w:lang w:val="en-US" w:eastAsia="en-US"/>
              </w:rPr>
              <w:t>Fluency in Bahasa Indonesia and English required.</w:t>
            </w:r>
          </w:p>
          <w:p w14:paraId="18E77B81" w14:textId="77777777" w:rsidR="00625D59" w:rsidRPr="00762FC1" w:rsidRDefault="00625D59" w:rsidP="00353B0E">
            <w:pPr>
              <w:widowControl w:val="0"/>
              <w:autoSpaceDE w:val="0"/>
              <w:autoSpaceDN w:val="0"/>
              <w:adjustRightInd w:val="0"/>
              <w:spacing w:line="220" w:lineRule="exact"/>
              <w:jc w:val="both"/>
              <w:rPr>
                <w:rFonts w:ascii="Calibri" w:hAnsi="Calibri" w:cs="Calibri"/>
                <w:szCs w:val="24"/>
                <w:lang w:val="en-US" w:eastAsia="en-US"/>
              </w:rPr>
            </w:pPr>
          </w:p>
        </w:tc>
      </w:tr>
      <w:tr w:rsidR="00625D59" w:rsidRPr="00373CEB" w14:paraId="4FD9B26B" w14:textId="77777777" w:rsidTr="00353B0E">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c>
          <w:tcPr>
            <w:tcW w:w="10170" w:type="dxa"/>
            <w:gridSpan w:val="2"/>
            <w:tcBorders>
              <w:top w:val="single" w:sz="4" w:space="0" w:color="auto"/>
              <w:left w:val="double" w:sz="4" w:space="0" w:color="auto"/>
              <w:bottom w:val="single" w:sz="4" w:space="0" w:color="auto"/>
              <w:right w:val="double" w:sz="4" w:space="0" w:color="auto"/>
            </w:tcBorders>
          </w:tcPr>
          <w:p w14:paraId="6F27FA06" w14:textId="77777777" w:rsidR="00625D59" w:rsidRDefault="00625D59" w:rsidP="00353B0E">
            <w:pPr>
              <w:spacing w:before="120" w:after="120"/>
              <w:jc w:val="both"/>
              <w:rPr>
                <w:rFonts w:ascii="Calibri" w:hAnsi="Calibri" w:cs="Calibri"/>
                <w:b/>
                <w:szCs w:val="24"/>
              </w:rPr>
            </w:pPr>
            <w:r>
              <w:rPr>
                <w:rFonts w:ascii="Calibri" w:hAnsi="Calibri" w:cs="Calibri"/>
                <w:b/>
                <w:szCs w:val="24"/>
              </w:rPr>
              <w:lastRenderedPageBreak/>
              <w:t xml:space="preserve">Org Chart: </w:t>
            </w:r>
          </w:p>
          <w:p w14:paraId="6BAFBC5A" w14:textId="77777777" w:rsidR="00625D59" w:rsidRPr="001A3FA4" w:rsidRDefault="00625D59" w:rsidP="00353B0E">
            <w:pPr>
              <w:spacing w:before="120" w:after="120"/>
              <w:jc w:val="both"/>
              <w:rPr>
                <w:rFonts w:ascii="Calibri" w:hAnsi="Calibri" w:cs="Calibri"/>
                <w:b/>
                <w:szCs w:val="24"/>
              </w:rPr>
            </w:pPr>
            <w:r>
              <w:object w:dxaOrig="9850" w:dyaOrig="8230" w14:anchorId="1ADEC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5pt;height:411.5pt" o:ole="">
                  <v:imagedata r:id="rId9" o:title=""/>
                </v:shape>
                <o:OLEObject Type="Embed" ProgID="PBrush" ShapeID="_x0000_i1025" DrawAspect="Content" ObjectID="_1674309806" r:id="rId10"/>
              </w:object>
            </w:r>
          </w:p>
        </w:tc>
      </w:tr>
    </w:tbl>
    <w:p w14:paraId="6D9E9819" w14:textId="77777777" w:rsidR="00625D59" w:rsidRPr="00762FC1" w:rsidRDefault="00625D59" w:rsidP="00625D59">
      <w:pPr>
        <w:ind w:right="-360"/>
        <w:rPr>
          <w:rFonts w:ascii="Calibri" w:hAnsi="Calibri" w:cs="Calibri"/>
          <w:szCs w:val="24"/>
        </w:rPr>
      </w:pPr>
    </w:p>
    <w:p w14:paraId="783DE021" w14:textId="77777777" w:rsidR="00625D59" w:rsidRPr="00762FC1" w:rsidRDefault="00625D59" w:rsidP="00625D59">
      <w:pPr>
        <w:ind w:right="-360"/>
        <w:rPr>
          <w:rFonts w:ascii="Calibri" w:hAnsi="Calibri" w:cs="Calibri"/>
          <w:szCs w:val="24"/>
        </w:rPr>
      </w:pPr>
    </w:p>
    <w:p w14:paraId="5661F205" w14:textId="77777777" w:rsidR="00560C3C" w:rsidRDefault="00560C3C"/>
    <w:sectPr w:rsidR="00560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06EBE"/>
    <w:multiLevelType w:val="hybridMultilevel"/>
    <w:tmpl w:val="91C0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C315C"/>
    <w:multiLevelType w:val="hybridMultilevel"/>
    <w:tmpl w:val="A7A2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A6A89"/>
    <w:multiLevelType w:val="hybridMultilevel"/>
    <w:tmpl w:val="78583888"/>
    <w:lvl w:ilvl="0" w:tplc="3360438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F60847"/>
    <w:multiLevelType w:val="hybridMultilevel"/>
    <w:tmpl w:val="75804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587422"/>
    <w:multiLevelType w:val="hybridMultilevel"/>
    <w:tmpl w:val="200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E3E59"/>
    <w:multiLevelType w:val="hybridMultilevel"/>
    <w:tmpl w:val="4CB0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1490A"/>
    <w:multiLevelType w:val="hybridMultilevel"/>
    <w:tmpl w:val="C602E3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59"/>
    <w:rsid w:val="00403247"/>
    <w:rsid w:val="00560C3C"/>
    <w:rsid w:val="0062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F1F4"/>
  <w15:chartTrackingRefBased/>
  <w15:docId w15:val="{87886FE7-EFC3-453C-A220-2E50FECF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5D59"/>
    <w:pPr>
      <w:spacing w:after="0" w:line="240" w:lineRule="auto"/>
    </w:pPr>
    <w:rPr>
      <w:rFonts w:ascii="Arial" w:eastAsia="Times New Roman" w:hAnsi="Arial"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5D59"/>
    <w:pPr>
      <w:ind w:left="720"/>
    </w:pPr>
    <w:rPr>
      <w:rFonts w:ascii="Times New Roman" w:hAnsi="Times New Roman"/>
      <w:sz w:val="20"/>
      <w:lang w:val="en-US" w:eastAsia="en-US"/>
    </w:rPr>
  </w:style>
  <w:style w:type="character" w:customStyle="1" w:styleId="BodyTextIndentChar">
    <w:name w:val="Body Text Indent Char"/>
    <w:basedOn w:val="DefaultParagraphFont"/>
    <w:link w:val="BodyTextIndent"/>
    <w:rsid w:val="00625D59"/>
    <w:rPr>
      <w:rFonts w:ascii="Times New Roman" w:eastAsia="Times New Roman" w:hAnsi="Times New Roman" w:cs="Times New Roman"/>
      <w:sz w:val="20"/>
      <w:szCs w:val="20"/>
    </w:rPr>
  </w:style>
  <w:style w:type="paragraph" w:styleId="ListParagraph">
    <w:name w:val="List Paragraph"/>
    <w:basedOn w:val="Normal"/>
    <w:uiPriority w:val="34"/>
    <w:qFormat/>
    <w:rsid w:val="00625D59"/>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E8154-346B-4CEA-8B57-07BCEC34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CF620-14AD-4640-838B-7F8E3A84432E}">
  <ds:schemaRefs>
    <ds:schemaRef ds:uri="http://schemas.microsoft.com/sharepoint/events"/>
  </ds:schemaRefs>
</ds:datastoreItem>
</file>

<file path=customXml/itemProps3.xml><?xml version="1.0" encoding="utf-8"?>
<ds:datastoreItem xmlns:ds="http://schemas.openxmlformats.org/officeDocument/2006/customXml" ds:itemID="{0ECE9619-275C-4B71-A02A-B0D1014B0FB4}">
  <ds:schemaRefs>
    <ds:schemaRef ds:uri="http://schemas.microsoft.com/sharepoint/v3/contenttype/forms"/>
  </ds:schemaRefs>
</ds:datastoreItem>
</file>

<file path=customXml/itemProps4.xml><?xml version="1.0" encoding="utf-8"?>
<ds:datastoreItem xmlns:ds="http://schemas.openxmlformats.org/officeDocument/2006/customXml" ds:itemID="{E8789E4F-A603-40F8-9EEE-3BFFAA444B52}">
  <ds:schemaRefs>
    <ds:schemaRef ds:uri="http://schemas.microsoft.com/office/infopath/2007/PartnerControls"/>
    <ds:schemaRef ds:uri="http://purl.org/dc/terms/"/>
    <ds:schemaRef ds:uri="http://www.w3.org/XML/1998/namespace"/>
    <ds:schemaRef ds:uri="369c8102-fcf1-4d6b-8332-9aa65f59f054"/>
    <ds:schemaRef ds:uri="63591a19-cb1d-44fe-9111-35bd3251584e"/>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1</cp:revision>
  <dcterms:created xsi:type="dcterms:W3CDTF">2021-02-08T10:16:00Z</dcterms:created>
  <dcterms:modified xsi:type="dcterms:W3CDTF">2021-02-08T10:17:00Z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