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0D9E088D" w:rsidR="00B14BE6" w:rsidRDefault="00B14BE6" w:rsidP="00B14BE6">
      <w:pPr>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 xml:space="preserve">TERMS OF REFERENCE FOR </w:t>
      </w:r>
      <w:r w:rsidR="00BD752B">
        <w:rPr>
          <w:rFonts w:ascii="Calibri" w:hAnsi="Calibri" w:cs="Calibri"/>
          <w:b/>
          <w:bCs/>
          <w:color w:val="00B0F0"/>
          <w:sz w:val="24"/>
          <w:szCs w:val="24"/>
          <w:u w:val="single"/>
        </w:rPr>
        <w:t xml:space="preserve">AN </w:t>
      </w:r>
      <w:r w:rsidRPr="00B63E76">
        <w:rPr>
          <w:rFonts w:ascii="Calibri" w:hAnsi="Calibri" w:cs="Calibri"/>
          <w:b/>
          <w:bCs/>
          <w:color w:val="00B0F0"/>
          <w:sz w:val="24"/>
          <w:szCs w:val="24"/>
          <w:u w:val="single"/>
        </w:rPr>
        <w:t xml:space="preserve">INDIVIDUAL </w:t>
      </w:r>
      <w:r w:rsidR="007A55FD">
        <w:rPr>
          <w:rFonts w:ascii="Calibri" w:hAnsi="Calibri" w:cs="Calibri"/>
          <w:b/>
          <w:bCs/>
          <w:color w:val="00B0F0"/>
          <w:sz w:val="24"/>
          <w:szCs w:val="24"/>
          <w:u w:val="single"/>
        </w:rPr>
        <w:t xml:space="preserve">INTERNATIONAL </w:t>
      </w:r>
      <w:r w:rsidRPr="00B63E76">
        <w:rPr>
          <w:rFonts w:ascii="Calibri" w:hAnsi="Calibri" w:cs="Calibri"/>
          <w:b/>
          <w:bCs/>
          <w:color w:val="00B0F0"/>
          <w:sz w:val="24"/>
          <w:szCs w:val="24"/>
          <w:u w:val="single"/>
        </w:rPr>
        <w:t xml:space="preserve">CONSULTANT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2A2F65" w14:paraId="64CAE02A" w14:textId="77777777" w:rsidTr="001221C5">
        <w:tc>
          <w:tcPr>
            <w:tcW w:w="10485" w:type="dxa"/>
          </w:tcPr>
          <w:p w14:paraId="3A54DDB9" w14:textId="5B7EED35" w:rsidR="00F83513" w:rsidRPr="00F83513" w:rsidRDefault="00F83513" w:rsidP="00F83513"/>
        </w:tc>
      </w:tr>
    </w:tbl>
    <w:p w14:paraId="484802F3" w14:textId="0DA6035D" w:rsidR="009413B2" w:rsidRPr="009413B2" w:rsidRDefault="009413B2" w:rsidP="0057678C">
      <w:pPr>
        <w:spacing w:before="120" w:after="200"/>
        <w:rPr>
          <w:rFonts w:ascii="Calibri" w:eastAsia="Arial Unicode MS" w:hAnsi="Calibri" w:cs="Calibri"/>
          <w:lang w:val="fr-FR"/>
        </w:rPr>
      </w:pPr>
    </w:p>
    <w:tbl>
      <w:tblPr>
        <w:tblpPr w:leftFromText="180" w:rightFromText="180" w:vertAnchor="page" w:horzAnchor="margin" w:tblpXSpec="center" w:tblpY="1371"/>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785"/>
        <w:gridCol w:w="4500"/>
        <w:gridCol w:w="1355"/>
        <w:gridCol w:w="1625"/>
      </w:tblGrid>
      <w:tr w:rsidR="009413B2" w:rsidRPr="0054592E" w14:paraId="3BC9BF2A" w14:textId="77777777" w:rsidTr="007C6BFE">
        <w:trPr>
          <w:trHeight w:val="220"/>
        </w:trPr>
        <w:tc>
          <w:tcPr>
            <w:tcW w:w="10265" w:type="dxa"/>
            <w:gridSpan w:val="4"/>
            <w:tcBorders>
              <w:bottom w:val="nil"/>
            </w:tcBorders>
            <w:shd w:val="clear" w:color="auto" w:fill="auto"/>
            <w:noWrap/>
            <w:hideMark/>
          </w:tcPr>
          <w:p w14:paraId="10237846" w14:textId="77777777" w:rsidR="009413B2" w:rsidRPr="0054592E" w:rsidRDefault="009413B2" w:rsidP="009413B2">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tc>
      </w:tr>
      <w:tr w:rsidR="007C6BFE" w:rsidRPr="007613B3" w14:paraId="18775A07" w14:textId="77777777" w:rsidTr="00052E4E">
        <w:trPr>
          <w:trHeight w:val="381"/>
        </w:trPr>
        <w:tc>
          <w:tcPr>
            <w:tcW w:w="2785" w:type="dxa"/>
            <w:tcBorders>
              <w:top w:val="nil"/>
              <w:left w:val="single" w:sz="4" w:space="0" w:color="auto"/>
              <w:bottom w:val="single" w:sz="8" w:space="0" w:color="6D6D6D"/>
              <w:right w:val="nil"/>
            </w:tcBorders>
            <w:shd w:val="clear" w:color="auto" w:fill="auto"/>
            <w:noWrap/>
            <w:vAlign w:val="center"/>
          </w:tcPr>
          <w:p w14:paraId="45B78EC4" w14:textId="77777777" w:rsidR="009413B2" w:rsidRPr="007613B3" w:rsidRDefault="009413B2" w:rsidP="009413B2">
            <w:pPr>
              <w:spacing w:before="60" w:after="60" w:line="240" w:lineRule="auto"/>
              <w:rPr>
                <w:rFonts w:ascii="Calibri" w:eastAsia="Arial Unicode MS" w:hAnsi="Calibri" w:cs="Calibri"/>
                <w:i/>
                <w:color w:val="D1282E"/>
                <w:lang w:val="en-AU"/>
              </w:rPr>
            </w:pPr>
            <w:bookmarkStart w:id="0" w:name="_Hlk104900844"/>
            <w:r w:rsidRPr="007613B3">
              <w:rPr>
                <w:rFonts w:ascii="Calibri" w:eastAsia="Arial Unicode MS" w:hAnsi="Calibri" w:cs="Calibri"/>
                <w:color w:val="auto"/>
                <w:lang w:val="en-AU"/>
              </w:rPr>
              <w:t>Tasks/Milestone</w:t>
            </w:r>
          </w:p>
        </w:tc>
        <w:tc>
          <w:tcPr>
            <w:tcW w:w="4500" w:type="dxa"/>
            <w:tcBorders>
              <w:top w:val="nil"/>
              <w:left w:val="nil"/>
              <w:bottom w:val="single" w:sz="8" w:space="0" w:color="6D6D6D"/>
              <w:right w:val="nil"/>
            </w:tcBorders>
            <w:shd w:val="clear" w:color="auto" w:fill="auto"/>
            <w:vAlign w:val="center"/>
          </w:tcPr>
          <w:p w14:paraId="2DECCD3F" w14:textId="77777777" w:rsidR="009413B2" w:rsidRPr="007613B3" w:rsidRDefault="009413B2" w:rsidP="009413B2">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355" w:type="dxa"/>
            <w:tcBorders>
              <w:top w:val="nil"/>
              <w:left w:val="nil"/>
              <w:bottom w:val="single" w:sz="8" w:space="0" w:color="6D6D6D"/>
              <w:right w:val="nil"/>
            </w:tcBorders>
            <w:shd w:val="clear" w:color="auto" w:fill="auto"/>
            <w:vAlign w:val="center"/>
          </w:tcPr>
          <w:p w14:paraId="708AADC5" w14:textId="77777777" w:rsidR="009413B2" w:rsidRPr="007613B3" w:rsidRDefault="009413B2" w:rsidP="009413B2">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1625" w:type="dxa"/>
            <w:tcBorders>
              <w:top w:val="nil"/>
              <w:left w:val="nil"/>
              <w:bottom w:val="single" w:sz="8" w:space="0" w:color="6D6D6D"/>
              <w:right w:val="single" w:sz="4" w:space="0" w:color="auto"/>
            </w:tcBorders>
            <w:shd w:val="clear" w:color="auto" w:fill="auto"/>
            <w:vAlign w:val="center"/>
          </w:tcPr>
          <w:p w14:paraId="13394E23" w14:textId="77777777" w:rsidR="009413B2" w:rsidRPr="007613B3" w:rsidRDefault="009413B2" w:rsidP="009413B2">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Budget </w:t>
            </w:r>
          </w:p>
        </w:tc>
      </w:tr>
      <w:tr w:rsidR="009413B2" w:rsidRPr="0037166C" w14:paraId="6BB15C58" w14:textId="77777777" w:rsidTr="00052E4E">
        <w:trPr>
          <w:trHeight w:val="514"/>
        </w:trPr>
        <w:tc>
          <w:tcPr>
            <w:tcW w:w="10265" w:type="dxa"/>
            <w:gridSpan w:val="4"/>
            <w:tcBorders>
              <w:top w:val="single" w:sz="8" w:space="0" w:color="6D6D6D"/>
              <w:left w:val="single" w:sz="8" w:space="0" w:color="6D6D6D"/>
              <w:bottom w:val="single" w:sz="8" w:space="0" w:color="6D6D6D"/>
              <w:right w:val="single" w:sz="8" w:space="0" w:color="6D6D6D"/>
            </w:tcBorders>
            <w:shd w:val="clear" w:color="auto" w:fill="1F3864" w:themeFill="accent5" w:themeFillShade="80"/>
            <w:noWrap/>
            <w:vAlign w:val="center"/>
          </w:tcPr>
          <w:p w14:paraId="516D5DB9" w14:textId="0047D554" w:rsidR="009413B2" w:rsidRPr="004774F8" w:rsidRDefault="009413B2" w:rsidP="001273DD">
            <w:pPr>
              <w:spacing w:before="60" w:after="60"/>
              <w:jc w:val="center"/>
              <w:rPr>
                <w:rFonts w:ascii="Calibri" w:eastAsia="Arial Unicode MS" w:hAnsi="Calibri" w:cs="Calibri"/>
                <w:b/>
                <w:bCs/>
                <w:color w:val="auto"/>
                <w:lang w:val="fr-FR"/>
              </w:rPr>
            </w:pPr>
            <w:r w:rsidRPr="004774F8">
              <w:rPr>
                <w:rFonts w:ascii="Calibri" w:eastAsia="Arial Unicode MS" w:hAnsi="Calibri" w:cs="Calibri"/>
                <w:b/>
                <w:bCs/>
                <w:color w:val="auto"/>
                <w:lang w:val="fr-FR"/>
              </w:rPr>
              <w:t xml:space="preserve">Axe 1 : </w:t>
            </w:r>
            <w:r w:rsidRPr="004774F8">
              <w:rPr>
                <w:b/>
                <w:bCs/>
                <w:lang w:val="fr-FR"/>
              </w:rPr>
              <w:t xml:space="preserve"> </w:t>
            </w:r>
            <w:r w:rsidR="0035655E">
              <w:rPr>
                <w:rFonts w:ascii="Calibri" w:eastAsia="Arial Unicode MS" w:hAnsi="Calibri" w:cs="Calibri"/>
                <w:b/>
                <w:bCs/>
                <w:color w:val="auto"/>
                <w:lang w:val="fr-FR"/>
              </w:rPr>
              <w:t xml:space="preserve">Réaliser </w:t>
            </w:r>
            <w:r w:rsidR="00C15D2A">
              <w:rPr>
                <w:rFonts w:ascii="Calibri" w:eastAsia="Arial Unicode MS" w:hAnsi="Calibri" w:cs="Calibri"/>
                <w:b/>
                <w:bCs/>
                <w:color w:val="auto"/>
                <w:lang w:val="fr-FR"/>
              </w:rPr>
              <w:t xml:space="preserve">un plaidoyer d’investissement sur </w:t>
            </w:r>
            <w:r w:rsidR="0035655E">
              <w:rPr>
                <w:rFonts w:ascii="Calibri" w:eastAsia="Arial Unicode MS" w:hAnsi="Calibri" w:cs="Calibri"/>
                <w:b/>
                <w:bCs/>
                <w:color w:val="auto"/>
                <w:lang w:val="fr-FR"/>
              </w:rPr>
              <w:t>l’EHAB</w:t>
            </w:r>
          </w:p>
        </w:tc>
      </w:tr>
      <w:bookmarkEnd w:id="0"/>
      <w:tr w:rsidR="00D8059B" w:rsidRPr="004C6830" w14:paraId="2D6ADAE4" w14:textId="77777777" w:rsidTr="00052E4E">
        <w:trPr>
          <w:trHeight w:val="343"/>
        </w:trPr>
        <w:tc>
          <w:tcPr>
            <w:tcW w:w="2785"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noWrap/>
            <w:vAlign w:val="center"/>
          </w:tcPr>
          <w:p w14:paraId="034F286E" w14:textId="6B8229A3" w:rsidR="00D8059B" w:rsidRPr="004774F8" w:rsidRDefault="00D8059B" w:rsidP="0090141F">
            <w:pPr>
              <w:tabs>
                <w:tab w:val="left" w:pos="1300"/>
              </w:tabs>
              <w:jc w:val="both"/>
              <w:rPr>
                <w:rFonts w:ascii="Calibri" w:eastAsia="Arial Unicode MS" w:hAnsi="Calibri" w:cs="Calibri"/>
                <w:color w:val="auto"/>
                <w:lang w:val="fr-FR"/>
              </w:rPr>
            </w:pPr>
            <w:r w:rsidRPr="005C56D0">
              <w:rPr>
                <w:rFonts w:ascii="Calibri" w:eastAsia="Arial Unicode MS" w:hAnsi="Calibri" w:cs="Calibri"/>
                <w:color w:val="auto"/>
                <w:lang w:val="fr-FR"/>
              </w:rPr>
              <w:t>Préparation et à l’animation de l’atelier de cadrage méthodologique</w:t>
            </w:r>
          </w:p>
        </w:tc>
        <w:tc>
          <w:tcPr>
            <w:tcW w:w="4500" w:type="dxa"/>
            <w:tcBorders>
              <w:left w:val="single" w:sz="8" w:space="0" w:color="6D6D6D"/>
              <w:bottom w:val="single" w:sz="8" w:space="0" w:color="6D6D6D"/>
              <w:right w:val="single" w:sz="8" w:space="0" w:color="6D6D6D"/>
            </w:tcBorders>
            <w:shd w:val="clear" w:color="auto" w:fill="DEEAF6" w:themeFill="accent1" w:themeFillTint="33"/>
            <w:vAlign w:val="center"/>
          </w:tcPr>
          <w:p w14:paraId="5B3F37E0" w14:textId="6EE919F0" w:rsidR="00D8059B" w:rsidRPr="00DB7F9F"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DB7F9F">
              <w:rPr>
                <w:rFonts w:ascii="Calibri" w:eastAsia="Arial Unicode MS" w:hAnsi="Calibri" w:cs="Calibri"/>
                <w:color w:val="auto"/>
                <w:lang w:val="fr-FR"/>
              </w:rPr>
              <w:t xml:space="preserve">Notes méthodologiques et feuille de route de la mission précisant les </w:t>
            </w:r>
          </w:p>
          <w:p w14:paraId="234F6D69" w14:textId="426B7958" w:rsidR="00D8059B" w:rsidRPr="00DB7F9F" w:rsidRDefault="00D8059B" w:rsidP="0090141F">
            <w:pPr>
              <w:jc w:val="both"/>
              <w:rPr>
                <w:rFonts w:ascii="Calibri" w:eastAsia="Arial Unicode MS" w:hAnsi="Calibri" w:cs="Calibri"/>
                <w:color w:val="auto"/>
                <w:lang w:val="fr-FR"/>
              </w:rPr>
            </w:pPr>
            <w:proofErr w:type="gramStart"/>
            <w:r w:rsidRPr="00DB7F9F">
              <w:rPr>
                <w:rFonts w:ascii="Calibri" w:eastAsia="Arial Unicode MS" w:hAnsi="Calibri" w:cs="Calibri"/>
                <w:color w:val="auto"/>
                <w:lang w:val="fr-FR"/>
              </w:rPr>
              <w:t>rôles</w:t>
            </w:r>
            <w:proofErr w:type="gramEnd"/>
            <w:r w:rsidRPr="00DB7F9F">
              <w:rPr>
                <w:rFonts w:ascii="Calibri" w:eastAsia="Arial Unicode MS" w:hAnsi="Calibri" w:cs="Calibri"/>
                <w:color w:val="auto"/>
                <w:lang w:val="fr-FR"/>
              </w:rPr>
              <w:t xml:space="preserve"> et responsabilités de chaque acteur notamment des ministères sectoriels</w:t>
            </w:r>
          </w:p>
          <w:p w14:paraId="0ECEB232" w14:textId="077D4B48" w:rsidR="00D8059B" w:rsidRPr="004774F8"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DB7F9F">
              <w:rPr>
                <w:rFonts w:ascii="Calibri" w:eastAsia="Arial Unicode MS" w:hAnsi="Calibri" w:cs="Calibri"/>
                <w:color w:val="auto"/>
                <w:lang w:val="fr-FR"/>
              </w:rPr>
              <w:t>Rapport de l’atelier de cadrage méthodologique (10 pages max.) précisant les documents de référence et les indicateurs retenus</w:t>
            </w:r>
          </w:p>
        </w:tc>
        <w:tc>
          <w:tcPr>
            <w:tcW w:w="1355" w:type="dxa"/>
            <w:tcBorders>
              <w:left w:val="single" w:sz="8" w:space="0" w:color="6D6D6D"/>
              <w:bottom w:val="single" w:sz="8" w:space="0" w:color="6D6D6D"/>
              <w:right w:val="single" w:sz="8" w:space="0" w:color="6D6D6D"/>
            </w:tcBorders>
            <w:shd w:val="clear" w:color="auto" w:fill="DEEAF6" w:themeFill="accent1" w:themeFillTint="33"/>
            <w:vAlign w:val="center"/>
          </w:tcPr>
          <w:p w14:paraId="2A96DE6B" w14:textId="391D3D9F" w:rsidR="00D8059B" w:rsidRPr="004774F8" w:rsidRDefault="001F7D7C" w:rsidP="00E93BD0">
            <w:pPr>
              <w:spacing w:before="60" w:after="60" w:line="240" w:lineRule="auto"/>
              <w:jc w:val="center"/>
              <w:rPr>
                <w:rFonts w:ascii="Calibri" w:eastAsia="Arial Unicode MS" w:hAnsi="Calibri" w:cs="Calibri"/>
                <w:color w:val="auto"/>
                <w:lang w:val="fr-FR"/>
              </w:rPr>
            </w:pPr>
            <w:r>
              <w:rPr>
                <w:rFonts w:ascii="Calibri" w:eastAsia="Arial Unicode MS" w:hAnsi="Calibri" w:cs="Calibri"/>
                <w:color w:val="auto"/>
                <w:lang w:val="fr-FR"/>
              </w:rPr>
              <w:t>0</w:t>
            </w:r>
            <w:r w:rsidR="00F647EC">
              <w:rPr>
                <w:rFonts w:ascii="Calibri" w:eastAsia="Arial Unicode MS" w:hAnsi="Calibri" w:cs="Calibri"/>
                <w:color w:val="auto"/>
                <w:lang w:val="fr-FR"/>
              </w:rPr>
              <w:t>4</w:t>
            </w:r>
            <w:r w:rsidR="00D8059B">
              <w:rPr>
                <w:rFonts w:ascii="Calibri" w:eastAsia="Arial Unicode MS" w:hAnsi="Calibri" w:cs="Calibri"/>
                <w:color w:val="auto"/>
                <w:lang w:val="fr-FR"/>
              </w:rPr>
              <w:t xml:space="preserve"> </w:t>
            </w:r>
            <w:r w:rsidR="00D8059B" w:rsidRPr="00001995">
              <w:rPr>
                <w:rFonts w:ascii="Calibri" w:eastAsia="Arial Unicode MS" w:hAnsi="Calibri" w:cs="Calibri"/>
                <w:color w:val="auto"/>
                <w:lang w:val="fr-FR"/>
              </w:rPr>
              <w:t xml:space="preserve">au </w:t>
            </w:r>
            <w:r>
              <w:rPr>
                <w:rFonts w:ascii="Calibri" w:eastAsia="Arial Unicode MS" w:hAnsi="Calibri" w:cs="Calibri"/>
                <w:color w:val="auto"/>
                <w:lang w:val="fr-FR"/>
              </w:rPr>
              <w:t>0</w:t>
            </w:r>
            <w:r w:rsidR="00F647EC">
              <w:rPr>
                <w:rFonts w:ascii="Calibri" w:eastAsia="Arial Unicode MS" w:hAnsi="Calibri" w:cs="Calibri"/>
                <w:color w:val="auto"/>
                <w:lang w:val="fr-FR"/>
              </w:rPr>
              <w:t>5</w:t>
            </w:r>
            <w:r w:rsidR="00D8059B">
              <w:rPr>
                <w:rFonts w:ascii="Calibri" w:eastAsia="Arial Unicode MS" w:hAnsi="Calibri" w:cs="Calibri"/>
                <w:color w:val="auto"/>
                <w:lang w:val="fr-FR"/>
              </w:rPr>
              <w:t xml:space="preserve"> jui</w:t>
            </w:r>
            <w:r w:rsidR="00F647EC">
              <w:rPr>
                <w:rFonts w:ascii="Calibri" w:eastAsia="Arial Unicode MS" w:hAnsi="Calibri" w:cs="Calibri"/>
                <w:color w:val="auto"/>
                <w:lang w:val="fr-FR"/>
              </w:rPr>
              <w:t>llet</w:t>
            </w:r>
            <w:r w:rsidR="00D8059B">
              <w:rPr>
                <w:rFonts w:ascii="Calibri" w:eastAsia="Arial Unicode MS" w:hAnsi="Calibri" w:cs="Calibri"/>
                <w:color w:val="auto"/>
                <w:lang w:val="fr-FR"/>
              </w:rPr>
              <w:t xml:space="preserve"> </w:t>
            </w:r>
            <w:r w:rsidR="00D8059B" w:rsidRPr="00001995">
              <w:rPr>
                <w:rFonts w:ascii="Calibri" w:eastAsia="Arial Unicode MS" w:hAnsi="Calibri" w:cs="Calibri"/>
                <w:color w:val="auto"/>
                <w:lang w:val="fr-FR"/>
              </w:rPr>
              <w:t>2022</w:t>
            </w:r>
          </w:p>
        </w:tc>
        <w:tc>
          <w:tcPr>
            <w:tcW w:w="1625" w:type="dxa"/>
            <w:vMerge w:val="restart"/>
            <w:tcBorders>
              <w:left w:val="single" w:sz="8" w:space="0" w:color="6D6D6D"/>
              <w:right w:val="single" w:sz="8" w:space="0" w:color="6D6D6D"/>
            </w:tcBorders>
            <w:shd w:val="clear" w:color="auto" w:fill="DEEAF6" w:themeFill="accent1" w:themeFillTint="33"/>
            <w:vAlign w:val="center"/>
          </w:tcPr>
          <w:p w14:paraId="78DF6677" w14:textId="0E5B2742" w:rsidR="00D8059B" w:rsidRPr="004774F8" w:rsidRDefault="00D8059B" w:rsidP="00D8059B">
            <w:pPr>
              <w:spacing w:before="60" w:after="60"/>
              <w:jc w:val="center"/>
              <w:rPr>
                <w:rFonts w:ascii="Calibri" w:eastAsia="Arial Unicode MS" w:hAnsi="Calibri" w:cs="Calibri"/>
                <w:color w:val="auto"/>
                <w:lang w:val="fr-FR"/>
              </w:rPr>
            </w:pPr>
            <w:r>
              <w:rPr>
                <w:rFonts w:ascii="Calibri" w:eastAsia="Arial Unicode MS" w:hAnsi="Calibri" w:cs="Calibri"/>
                <w:color w:val="auto"/>
                <w:lang w:val="fr-FR"/>
              </w:rPr>
              <w:t>60%</w:t>
            </w:r>
          </w:p>
        </w:tc>
      </w:tr>
      <w:tr w:rsidR="00D8059B" w:rsidRPr="005C56D0" w14:paraId="75DF12CC" w14:textId="77777777" w:rsidTr="00052E4E">
        <w:trPr>
          <w:trHeight w:val="368"/>
        </w:trPr>
        <w:tc>
          <w:tcPr>
            <w:tcW w:w="2785"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noWrap/>
            <w:vAlign w:val="center"/>
          </w:tcPr>
          <w:p w14:paraId="775C39D0" w14:textId="1AD0B6E0" w:rsidR="00D8059B" w:rsidRPr="004774F8" w:rsidRDefault="00D8059B" w:rsidP="0090141F">
            <w:pPr>
              <w:jc w:val="both"/>
              <w:rPr>
                <w:rFonts w:ascii="Calibri" w:eastAsia="Arial Unicode MS" w:hAnsi="Calibri" w:cs="Calibri"/>
                <w:color w:val="auto"/>
                <w:lang w:val="fr-FR"/>
              </w:rPr>
            </w:pPr>
            <w:r w:rsidRPr="00261324">
              <w:rPr>
                <w:rFonts w:ascii="Calibri" w:eastAsia="Arial Unicode MS" w:hAnsi="Calibri" w:cs="Calibri"/>
                <w:color w:val="auto"/>
                <w:lang w:val="fr-FR"/>
              </w:rPr>
              <w:t>Collecte, analyses des données dans les ministères sectoriels (éducation, santé, eau, affaires sociales, agriculture), des ministères de l’économie et des finances, du plan et développement et des partenaires techniques financiers intervenant dans le secteur de l’EHAB</w:t>
            </w:r>
            <w:r w:rsidR="0024411A">
              <w:rPr>
                <w:rFonts w:ascii="Calibri" w:eastAsia="Arial Unicode MS" w:hAnsi="Calibri" w:cs="Calibri"/>
                <w:color w:val="auto"/>
                <w:lang w:val="fr-FR"/>
              </w:rPr>
              <w:t xml:space="preserve"> </w:t>
            </w:r>
            <w:r w:rsidRPr="00261324">
              <w:rPr>
                <w:rFonts w:ascii="Calibri" w:eastAsia="Arial Unicode MS" w:hAnsi="Calibri" w:cs="Calibri"/>
                <w:color w:val="auto"/>
                <w:lang w:val="fr-FR"/>
              </w:rPr>
              <w:t xml:space="preserve">et présentation des premiers </w:t>
            </w:r>
            <w:proofErr w:type="gramStart"/>
            <w:r w:rsidRPr="00261324">
              <w:rPr>
                <w:rFonts w:ascii="Calibri" w:eastAsia="Arial Unicode MS" w:hAnsi="Calibri" w:cs="Calibri"/>
                <w:color w:val="auto"/>
                <w:lang w:val="fr-FR"/>
              </w:rPr>
              <w:t>résultats  au</w:t>
            </w:r>
            <w:proofErr w:type="gramEnd"/>
            <w:r w:rsidRPr="00261324">
              <w:rPr>
                <w:rFonts w:ascii="Calibri" w:eastAsia="Arial Unicode MS" w:hAnsi="Calibri" w:cs="Calibri"/>
                <w:color w:val="auto"/>
                <w:lang w:val="fr-FR"/>
              </w:rPr>
              <w:t xml:space="preserve"> cours d’un atelier</w:t>
            </w:r>
          </w:p>
        </w:tc>
        <w:tc>
          <w:tcPr>
            <w:tcW w:w="4500"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vAlign w:val="center"/>
          </w:tcPr>
          <w:p w14:paraId="5907F553" w14:textId="6C1860DE" w:rsidR="00D8059B" w:rsidRPr="002C5DB6"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2C5DB6">
              <w:rPr>
                <w:rFonts w:ascii="Calibri" w:eastAsia="Arial Unicode MS" w:hAnsi="Calibri" w:cs="Calibri"/>
                <w:color w:val="auto"/>
                <w:lang w:val="fr-FR"/>
              </w:rPr>
              <w:t>Tableaux d’analyses des différentes données collectées</w:t>
            </w:r>
          </w:p>
          <w:p w14:paraId="215B5004" w14:textId="10E6A99A" w:rsidR="00D8059B" w:rsidRPr="002C5DB6"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2C5DB6">
              <w:rPr>
                <w:rFonts w:ascii="Calibri" w:eastAsia="Arial Unicode MS" w:hAnsi="Calibri" w:cs="Calibri"/>
                <w:color w:val="auto"/>
                <w:lang w:val="fr-FR"/>
              </w:rPr>
              <w:t>PowerPoint de présentation des premiers résultats de l’analyse des données</w:t>
            </w:r>
          </w:p>
          <w:p w14:paraId="47195B48" w14:textId="710ED4EE" w:rsidR="00D8059B" w:rsidRPr="002C5DB6"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2C5DB6">
              <w:rPr>
                <w:rFonts w:ascii="Calibri" w:eastAsia="Arial Unicode MS" w:hAnsi="Calibri" w:cs="Calibri"/>
                <w:color w:val="auto"/>
                <w:lang w:val="fr-FR"/>
              </w:rPr>
              <w:t>Rapports provisoires présentant des premiers résultats de l’Investment case sur l’EHAB : (i) coût humain de l’absence ou l’insuffisance des services de l’EHAB, (ii) le coût économique du faible accès à l’eau et aux services d’hygiène et d’assainissement par indicateur y compris dans les écoles</w:t>
            </w:r>
          </w:p>
          <w:p w14:paraId="2822CA5D" w14:textId="07429394" w:rsidR="00D8059B" w:rsidRPr="004774F8"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2C5DB6">
              <w:rPr>
                <w:rFonts w:ascii="Calibri" w:eastAsia="Arial Unicode MS" w:hAnsi="Calibri" w:cs="Calibri"/>
                <w:color w:val="auto"/>
                <w:lang w:val="fr-FR"/>
              </w:rPr>
              <w:t>Rapport de l’atelier de présentation des premiers résultats de l’Investment case</w:t>
            </w:r>
          </w:p>
        </w:tc>
        <w:tc>
          <w:tcPr>
            <w:tcW w:w="1355" w:type="dxa"/>
            <w:tcBorders>
              <w:top w:val="single" w:sz="8" w:space="0" w:color="6D6D6D"/>
              <w:left w:val="single" w:sz="8" w:space="0" w:color="6D6D6D"/>
              <w:right w:val="single" w:sz="8" w:space="0" w:color="6D6D6D"/>
            </w:tcBorders>
            <w:shd w:val="clear" w:color="auto" w:fill="DEEAF6" w:themeFill="accent1" w:themeFillTint="33"/>
            <w:vAlign w:val="center"/>
          </w:tcPr>
          <w:p w14:paraId="59BA178B" w14:textId="33E3386E" w:rsidR="00D8059B" w:rsidRPr="004774F8" w:rsidRDefault="00B50F46" w:rsidP="009413B2">
            <w:pPr>
              <w:spacing w:before="60" w:after="60" w:line="240" w:lineRule="auto"/>
              <w:jc w:val="center"/>
              <w:rPr>
                <w:rFonts w:ascii="Calibri" w:eastAsia="Arial Unicode MS" w:hAnsi="Calibri" w:cs="Calibri"/>
                <w:color w:val="auto"/>
                <w:lang w:val="fr-FR"/>
              </w:rPr>
            </w:pPr>
            <w:r>
              <w:rPr>
                <w:rFonts w:ascii="Calibri" w:eastAsia="Arial Unicode MS" w:hAnsi="Calibri" w:cs="Calibri"/>
                <w:color w:val="auto"/>
                <w:lang w:val="fr-FR"/>
              </w:rPr>
              <w:t>05</w:t>
            </w:r>
            <w:r w:rsidR="00D8059B">
              <w:rPr>
                <w:rFonts w:ascii="Calibri" w:eastAsia="Arial Unicode MS" w:hAnsi="Calibri" w:cs="Calibri"/>
                <w:color w:val="auto"/>
                <w:lang w:val="fr-FR"/>
              </w:rPr>
              <w:t xml:space="preserve"> juin</w:t>
            </w:r>
            <w:r w:rsidR="00D8059B" w:rsidRPr="00995BE6">
              <w:rPr>
                <w:rFonts w:ascii="Calibri" w:eastAsia="Arial Unicode MS" w:hAnsi="Calibri" w:cs="Calibri"/>
                <w:color w:val="auto"/>
                <w:lang w:val="fr-FR"/>
              </w:rPr>
              <w:t xml:space="preserve"> </w:t>
            </w:r>
            <w:r w:rsidR="00D8059B">
              <w:rPr>
                <w:rFonts w:ascii="Calibri" w:eastAsia="Arial Unicode MS" w:hAnsi="Calibri" w:cs="Calibri"/>
                <w:color w:val="auto"/>
                <w:lang w:val="fr-FR"/>
              </w:rPr>
              <w:t xml:space="preserve">au </w:t>
            </w:r>
            <w:r>
              <w:rPr>
                <w:rFonts w:ascii="Calibri" w:eastAsia="Arial Unicode MS" w:hAnsi="Calibri" w:cs="Calibri"/>
                <w:color w:val="auto"/>
                <w:lang w:val="fr-FR"/>
              </w:rPr>
              <w:t>31</w:t>
            </w:r>
            <w:r w:rsidR="00D8059B">
              <w:rPr>
                <w:rFonts w:ascii="Calibri" w:eastAsia="Arial Unicode MS" w:hAnsi="Calibri" w:cs="Calibri"/>
                <w:color w:val="auto"/>
                <w:lang w:val="fr-FR"/>
              </w:rPr>
              <w:t xml:space="preserve"> juillet </w:t>
            </w:r>
            <w:r w:rsidR="00D8059B" w:rsidRPr="00995BE6">
              <w:rPr>
                <w:rFonts w:ascii="Calibri" w:eastAsia="Arial Unicode MS" w:hAnsi="Calibri" w:cs="Calibri"/>
                <w:color w:val="auto"/>
                <w:lang w:val="fr-FR"/>
              </w:rPr>
              <w:t>2022</w:t>
            </w:r>
          </w:p>
        </w:tc>
        <w:tc>
          <w:tcPr>
            <w:tcW w:w="1625" w:type="dxa"/>
            <w:vMerge/>
            <w:tcBorders>
              <w:left w:val="single" w:sz="8" w:space="0" w:color="6D6D6D"/>
              <w:right w:val="single" w:sz="8" w:space="0" w:color="6D6D6D"/>
            </w:tcBorders>
            <w:shd w:val="clear" w:color="auto" w:fill="DEEAF6" w:themeFill="accent1" w:themeFillTint="33"/>
            <w:vAlign w:val="center"/>
          </w:tcPr>
          <w:p w14:paraId="53260D75" w14:textId="24760C89" w:rsidR="00D8059B" w:rsidRPr="004774F8" w:rsidRDefault="00D8059B" w:rsidP="00606DE2">
            <w:pPr>
              <w:spacing w:before="60" w:after="60"/>
              <w:jc w:val="center"/>
              <w:rPr>
                <w:rFonts w:ascii="Calibri" w:eastAsia="Arial Unicode MS" w:hAnsi="Calibri" w:cs="Calibri"/>
                <w:color w:val="auto"/>
                <w:lang w:val="fr-FR"/>
              </w:rPr>
            </w:pPr>
          </w:p>
        </w:tc>
      </w:tr>
      <w:tr w:rsidR="00D8059B" w:rsidRPr="004C6830" w14:paraId="704E80E2" w14:textId="77777777" w:rsidTr="00052E4E">
        <w:trPr>
          <w:trHeight w:val="368"/>
        </w:trPr>
        <w:tc>
          <w:tcPr>
            <w:tcW w:w="2785"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noWrap/>
            <w:vAlign w:val="center"/>
          </w:tcPr>
          <w:p w14:paraId="7271C274" w14:textId="5906B8F1" w:rsidR="00D8059B" w:rsidRPr="0060328D" w:rsidRDefault="00D8059B" w:rsidP="0090141F">
            <w:pPr>
              <w:jc w:val="both"/>
              <w:rPr>
                <w:rFonts w:ascii="Calibri" w:eastAsia="Arial Unicode MS" w:hAnsi="Calibri" w:cs="Calibri"/>
                <w:color w:val="auto"/>
                <w:lang w:val="fr-FR"/>
              </w:rPr>
            </w:pPr>
            <w:r w:rsidRPr="0060328D">
              <w:rPr>
                <w:rFonts w:ascii="Calibri" w:eastAsia="Arial Unicode MS" w:hAnsi="Calibri" w:cs="Calibri"/>
                <w:color w:val="auto"/>
                <w:lang w:val="fr-FR"/>
              </w:rPr>
              <w:t>Rédaction d’un rapport sur l’Investment case</w:t>
            </w:r>
          </w:p>
        </w:tc>
        <w:tc>
          <w:tcPr>
            <w:tcW w:w="4500"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vAlign w:val="center"/>
          </w:tcPr>
          <w:p w14:paraId="71F1DD07" w14:textId="47193EFD" w:rsidR="00D8059B" w:rsidRPr="00D6294B"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Rapport provisoire de</w:t>
            </w:r>
            <w:r w:rsidRPr="00D6294B">
              <w:rPr>
                <w:rFonts w:ascii="Calibri" w:eastAsia="Arial Unicode MS" w:hAnsi="Calibri" w:cs="Calibri"/>
                <w:color w:val="auto"/>
                <w:lang w:val="fr-FR"/>
              </w:rPr>
              <w:t xml:space="preserve"> l’Investment case (35 pages maximum)</w:t>
            </w:r>
          </w:p>
          <w:p w14:paraId="4411CDBA" w14:textId="77777777" w:rsidR="00D8059B"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D6294B">
              <w:rPr>
                <w:rFonts w:ascii="Calibri" w:eastAsia="Arial Unicode MS" w:hAnsi="Calibri" w:cs="Calibri"/>
                <w:color w:val="auto"/>
                <w:lang w:val="fr-FR"/>
              </w:rPr>
              <w:t xml:space="preserve">Powerpoint présentant les résultats contenus dans les 2 rapports </w:t>
            </w:r>
          </w:p>
          <w:p w14:paraId="113DBDED" w14:textId="59EBC6DD" w:rsidR="00D8059B" w:rsidRDefault="00D8059B"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C030E7">
              <w:rPr>
                <w:rFonts w:ascii="Calibri" w:eastAsia="Arial Unicode MS" w:hAnsi="Calibri" w:cs="Calibri"/>
                <w:color w:val="auto"/>
                <w:lang w:val="fr-FR"/>
              </w:rPr>
              <w:t>Rapport de l’atelier de présentation lors d’un atelier de validation d’une journée</w:t>
            </w:r>
          </w:p>
        </w:tc>
        <w:tc>
          <w:tcPr>
            <w:tcW w:w="1355" w:type="dxa"/>
            <w:tcBorders>
              <w:left w:val="single" w:sz="8" w:space="0" w:color="6D6D6D"/>
              <w:bottom w:val="single" w:sz="8" w:space="0" w:color="6D6D6D"/>
              <w:right w:val="single" w:sz="8" w:space="0" w:color="6D6D6D"/>
            </w:tcBorders>
            <w:shd w:val="clear" w:color="auto" w:fill="DEEAF6" w:themeFill="accent1" w:themeFillTint="33"/>
            <w:vAlign w:val="center"/>
          </w:tcPr>
          <w:p w14:paraId="08ABE23A" w14:textId="72ECEA2D" w:rsidR="00D8059B" w:rsidRPr="004774F8" w:rsidRDefault="00AD43FA" w:rsidP="0088013C">
            <w:pPr>
              <w:spacing w:before="60" w:after="60" w:line="240" w:lineRule="auto"/>
              <w:jc w:val="center"/>
              <w:rPr>
                <w:rFonts w:ascii="Calibri" w:eastAsia="Arial Unicode MS" w:hAnsi="Calibri" w:cs="Calibri"/>
                <w:color w:val="auto"/>
                <w:lang w:val="fr-FR"/>
              </w:rPr>
            </w:pPr>
            <w:r>
              <w:rPr>
                <w:rFonts w:ascii="Calibri" w:eastAsia="Arial Unicode MS" w:hAnsi="Calibri" w:cs="Calibri"/>
                <w:color w:val="auto"/>
                <w:lang w:val="fr-FR"/>
              </w:rPr>
              <w:t>01</w:t>
            </w:r>
            <w:r w:rsidR="00D8059B">
              <w:rPr>
                <w:rFonts w:ascii="Calibri" w:eastAsia="Arial Unicode MS" w:hAnsi="Calibri" w:cs="Calibri"/>
                <w:color w:val="auto"/>
                <w:lang w:val="fr-FR"/>
              </w:rPr>
              <w:t xml:space="preserve"> au </w:t>
            </w:r>
            <w:r>
              <w:rPr>
                <w:rFonts w:ascii="Calibri" w:eastAsia="Arial Unicode MS" w:hAnsi="Calibri" w:cs="Calibri"/>
                <w:color w:val="auto"/>
                <w:lang w:val="fr-FR"/>
              </w:rPr>
              <w:t>15</w:t>
            </w:r>
            <w:r w:rsidR="00D8059B">
              <w:rPr>
                <w:rFonts w:ascii="Calibri" w:eastAsia="Arial Unicode MS" w:hAnsi="Calibri" w:cs="Calibri"/>
                <w:color w:val="auto"/>
                <w:lang w:val="fr-FR"/>
              </w:rPr>
              <w:t xml:space="preserve"> </w:t>
            </w:r>
            <w:r>
              <w:rPr>
                <w:rFonts w:ascii="Calibri" w:eastAsia="Arial Unicode MS" w:hAnsi="Calibri" w:cs="Calibri"/>
                <w:color w:val="auto"/>
                <w:lang w:val="fr-FR"/>
              </w:rPr>
              <w:t>août</w:t>
            </w:r>
            <w:r w:rsidR="00D8059B" w:rsidRPr="0088013C">
              <w:rPr>
                <w:rFonts w:ascii="Calibri" w:eastAsia="Arial Unicode MS" w:hAnsi="Calibri" w:cs="Calibri"/>
                <w:color w:val="auto"/>
                <w:lang w:val="fr-FR"/>
              </w:rPr>
              <w:t xml:space="preserve"> 2022</w:t>
            </w:r>
          </w:p>
        </w:tc>
        <w:tc>
          <w:tcPr>
            <w:tcW w:w="1625" w:type="dxa"/>
            <w:vMerge/>
            <w:tcBorders>
              <w:left w:val="single" w:sz="8" w:space="0" w:color="6D6D6D"/>
              <w:bottom w:val="single" w:sz="8" w:space="0" w:color="6D6D6D"/>
              <w:right w:val="single" w:sz="8" w:space="0" w:color="6D6D6D"/>
            </w:tcBorders>
            <w:shd w:val="clear" w:color="auto" w:fill="DEEAF6" w:themeFill="accent1" w:themeFillTint="33"/>
            <w:vAlign w:val="center"/>
          </w:tcPr>
          <w:p w14:paraId="4512763B" w14:textId="6FDE2493" w:rsidR="00D8059B" w:rsidRPr="004774F8" w:rsidRDefault="00D8059B" w:rsidP="00F54281">
            <w:pPr>
              <w:spacing w:before="60" w:after="60"/>
              <w:jc w:val="center"/>
              <w:rPr>
                <w:rFonts w:ascii="Calibri" w:eastAsia="Arial Unicode MS" w:hAnsi="Calibri" w:cs="Calibri"/>
                <w:color w:val="auto"/>
                <w:lang w:val="fr-FR"/>
              </w:rPr>
            </w:pPr>
          </w:p>
        </w:tc>
      </w:tr>
      <w:tr w:rsidR="0020068E" w:rsidRPr="0037166C" w14:paraId="11CE1DEC" w14:textId="77777777" w:rsidTr="00052E4E">
        <w:trPr>
          <w:trHeight w:val="505"/>
        </w:trPr>
        <w:tc>
          <w:tcPr>
            <w:tcW w:w="10265" w:type="dxa"/>
            <w:gridSpan w:val="4"/>
            <w:tcBorders>
              <w:top w:val="single" w:sz="8" w:space="0" w:color="6D6D6D"/>
              <w:left w:val="single" w:sz="8" w:space="0" w:color="6D6D6D"/>
              <w:bottom w:val="single" w:sz="8" w:space="0" w:color="6D6D6D"/>
              <w:right w:val="single" w:sz="8" w:space="0" w:color="6D6D6D"/>
            </w:tcBorders>
            <w:shd w:val="clear" w:color="auto" w:fill="1F3864" w:themeFill="accent5" w:themeFillShade="80"/>
            <w:noWrap/>
            <w:vAlign w:val="center"/>
          </w:tcPr>
          <w:p w14:paraId="731BEFDE" w14:textId="17094149" w:rsidR="0020068E" w:rsidRPr="009413B2" w:rsidRDefault="0020068E" w:rsidP="001273DD">
            <w:pPr>
              <w:spacing w:before="60" w:after="60"/>
              <w:jc w:val="center"/>
              <w:rPr>
                <w:rFonts w:ascii="Calibri" w:eastAsia="Arial Unicode MS" w:hAnsi="Calibri" w:cs="Calibri"/>
                <w:b/>
                <w:bCs/>
                <w:color w:val="auto"/>
                <w:lang w:val="fr-FR"/>
              </w:rPr>
            </w:pPr>
            <w:r w:rsidRPr="009413B2">
              <w:rPr>
                <w:rFonts w:ascii="Calibri" w:eastAsia="Arial Unicode MS" w:hAnsi="Calibri" w:cs="Calibri"/>
                <w:b/>
                <w:bCs/>
                <w:color w:val="auto"/>
                <w:lang w:val="fr-FR"/>
              </w:rPr>
              <w:t xml:space="preserve">Axe 2 : </w:t>
            </w:r>
            <w:r>
              <w:rPr>
                <w:rFonts w:ascii="Calibri" w:eastAsia="Arial Unicode MS" w:hAnsi="Calibri" w:cs="Calibri"/>
                <w:b/>
                <w:bCs/>
                <w:color w:val="auto"/>
                <w:lang w:val="fr-FR"/>
              </w:rPr>
              <w:t xml:space="preserve">Analyser l’espace budgétaire </w:t>
            </w:r>
            <w:r w:rsidR="00E77CDF">
              <w:rPr>
                <w:rFonts w:ascii="Calibri" w:eastAsia="Arial Unicode MS" w:hAnsi="Calibri" w:cs="Calibri"/>
                <w:b/>
                <w:bCs/>
                <w:color w:val="auto"/>
                <w:lang w:val="fr-FR"/>
              </w:rPr>
              <w:t>et stratégie de financement de</w:t>
            </w:r>
            <w:r>
              <w:rPr>
                <w:rFonts w:ascii="Calibri" w:eastAsia="Arial Unicode MS" w:hAnsi="Calibri" w:cs="Calibri"/>
                <w:b/>
                <w:bCs/>
                <w:color w:val="auto"/>
                <w:lang w:val="fr-FR"/>
              </w:rPr>
              <w:t xml:space="preserve"> l’EHAB</w:t>
            </w:r>
          </w:p>
        </w:tc>
      </w:tr>
      <w:tr w:rsidR="00052E4E" w:rsidRPr="004C6830" w14:paraId="4078E275" w14:textId="77777777" w:rsidTr="00052E4E">
        <w:trPr>
          <w:trHeight w:val="368"/>
        </w:trPr>
        <w:tc>
          <w:tcPr>
            <w:tcW w:w="2785" w:type="dxa"/>
            <w:tcBorders>
              <w:top w:val="single" w:sz="8" w:space="0" w:color="6D6D6D"/>
              <w:left w:val="single" w:sz="8" w:space="0" w:color="6D6D6D"/>
              <w:bottom w:val="single" w:sz="8" w:space="0" w:color="6D6D6D"/>
              <w:right w:val="single" w:sz="8" w:space="0" w:color="6D6D6D"/>
            </w:tcBorders>
            <w:shd w:val="clear" w:color="auto" w:fill="9CC2E5" w:themeFill="accent1" w:themeFillTint="99"/>
            <w:noWrap/>
            <w:vAlign w:val="center"/>
          </w:tcPr>
          <w:p w14:paraId="454577CC" w14:textId="6561520A" w:rsidR="00052E4E" w:rsidRPr="009413B2" w:rsidRDefault="00052E4E" w:rsidP="0090141F">
            <w:pPr>
              <w:ind w:left="12" w:hanging="12"/>
              <w:jc w:val="both"/>
              <w:rPr>
                <w:rFonts w:ascii="Calibri" w:eastAsia="Arial Unicode MS" w:hAnsi="Calibri" w:cs="Calibri"/>
                <w:color w:val="auto"/>
                <w:lang w:val="fr-FR"/>
              </w:rPr>
            </w:pPr>
            <w:r w:rsidRPr="00BA214F">
              <w:rPr>
                <w:rFonts w:ascii="Calibri" w:eastAsia="Arial Unicode MS" w:hAnsi="Calibri" w:cs="Calibri"/>
                <w:color w:val="auto"/>
                <w:lang w:val="fr-FR"/>
              </w:rPr>
              <w:t>Rédaction d’un rapport sur l’analyse de l’espace budgétaire pour la nutrition et d’une stratégie de financement de l’EHAB</w:t>
            </w:r>
          </w:p>
        </w:tc>
        <w:tc>
          <w:tcPr>
            <w:tcW w:w="4500" w:type="dxa"/>
            <w:tcBorders>
              <w:top w:val="single" w:sz="8" w:space="0" w:color="6D6D6D"/>
              <w:left w:val="single" w:sz="8" w:space="0" w:color="6D6D6D"/>
              <w:bottom w:val="single" w:sz="8" w:space="0" w:color="6D6D6D"/>
              <w:right w:val="single" w:sz="8" w:space="0" w:color="6D6D6D"/>
            </w:tcBorders>
            <w:shd w:val="clear" w:color="auto" w:fill="9CC2E5" w:themeFill="accent1" w:themeFillTint="99"/>
            <w:vAlign w:val="center"/>
          </w:tcPr>
          <w:p w14:paraId="1CAE7E41" w14:textId="272C0139" w:rsidR="00052E4E" w:rsidRPr="00411C18" w:rsidRDefault="00052E4E"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411C18">
              <w:rPr>
                <w:rFonts w:ascii="Calibri" w:eastAsia="Arial Unicode MS" w:hAnsi="Calibri" w:cs="Calibri"/>
                <w:color w:val="auto"/>
                <w:lang w:val="fr-FR"/>
              </w:rPr>
              <w:t>Drafts des 2 rapports sur : (i) l’analyse de l’espace budgétaire pour l’EHAB et (ii) la stratégie de financement de l’Hygiène et l’assainissement de base (25 pages)</w:t>
            </w:r>
          </w:p>
          <w:p w14:paraId="6D2E3E21" w14:textId="66CD3488" w:rsidR="00052E4E" w:rsidRPr="00411C18" w:rsidRDefault="00052E4E" w:rsidP="0090141F">
            <w:pPr>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411C18">
              <w:rPr>
                <w:rFonts w:ascii="Calibri" w:eastAsia="Arial Unicode MS" w:hAnsi="Calibri" w:cs="Calibri"/>
                <w:color w:val="auto"/>
                <w:lang w:val="fr-FR"/>
              </w:rPr>
              <w:t>Powerpoint présentant les résultats contenus dans les deux rapports</w:t>
            </w:r>
          </w:p>
          <w:p w14:paraId="1A320B97" w14:textId="77777777" w:rsidR="00052E4E" w:rsidRDefault="00052E4E" w:rsidP="0090141F">
            <w:pPr>
              <w:ind w:left="12" w:hanging="12"/>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Pr="00411C18">
              <w:rPr>
                <w:rFonts w:ascii="Calibri" w:eastAsia="Arial Unicode MS" w:hAnsi="Calibri" w:cs="Calibri"/>
                <w:color w:val="auto"/>
                <w:lang w:val="fr-FR"/>
              </w:rPr>
              <w:t>Rapport de l’atelier de présentation des résultats</w:t>
            </w:r>
          </w:p>
          <w:p w14:paraId="151199B0" w14:textId="6B0782CE" w:rsidR="00761881" w:rsidRPr="009413B2" w:rsidRDefault="00761881" w:rsidP="0090141F">
            <w:pPr>
              <w:ind w:left="12" w:hanging="12"/>
              <w:jc w:val="both"/>
              <w:rPr>
                <w:rFonts w:ascii="Calibri" w:eastAsia="Arial Unicode MS" w:hAnsi="Calibri" w:cs="Calibri"/>
                <w:color w:val="auto"/>
                <w:lang w:val="fr-FR"/>
              </w:rPr>
            </w:pPr>
          </w:p>
        </w:tc>
        <w:tc>
          <w:tcPr>
            <w:tcW w:w="1355" w:type="dxa"/>
            <w:tcBorders>
              <w:left w:val="single" w:sz="8" w:space="0" w:color="6D6D6D"/>
              <w:bottom w:val="single" w:sz="8" w:space="0" w:color="6D6D6D"/>
              <w:right w:val="single" w:sz="8" w:space="0" w:color="6D6D6D"/>
            </w:tcBorders>
            <w:shd w:val="clear" w:color="auto" w:fill="9CC2E5" w:themeFill="accent1" w:themeFillTint="99"/>
            <w:vAlign w:val="center"/>
          </w:tcPr>
          <w:p w14:paraId="5F41C0D7" w14:textId="78F1B5FE" w:rsidR="00052E4E" w:rsidRPr="004774F8" w:rsidRDefault="007833C7" w:rsidP="0020068E">
            <w:pPr>
              <w:spacing w:before="60" w:after="60" w:line="240" w:lineRule="auto"/>
              <w:jc w:val="center"/>
              <w:rPr>
                <w:rFonts w:ascii="Calibri" w:eastAsia="Arial Unicode MS" w:hAnsi="Calibri" w:cs="Calibri"/>
                <w:color w:val="auto"/>
                <w:lang w:val="fr-FR"/>
              </w:rPr>
            </w:pPr>
            <w:r>
              <w:rPr>
                <w:rFonts w:ascii="Calibri" w:eastAsia="Arial Unicode MS" w:hAnsi="Calibri" w:cs="Calibri"/>
                <w:color w:val="auto"/>
                <w:lang w:val="fr-FR"/>
              </w:rPr>
              <w:t>16</w:t>
            </w:r>
            <w:r w:rsidR="00DF472D">
              <w:rPr>
                <w:rFonts w:ascii="Calibri" w:eastAsia="Arial Unicode MS" w:hAnsi="Calibri" w:cs="Calibri"/>
                <w:color w:val="auto"/>
                <w:lang w:val="fr-FR"/>
              </w:rPr>
              <w:t xml:space="preserve"> </w:t>
            </w:r>
            <w:r>
              <w:rPr>
                <w:rFonts w:ascii="Calibri" w:eastAsia="Arial Unicode MS" w:hAnsi="Calibri" w:cs="Calibri"/>
                <w:color w:val="auto"/>
                <w:lang w:val="fr-FR"/>
              </w:rPr>
              <w:t>août</w:t>
            </w:r>
            <w:r w:rsidR="00052E4E">
              <w:rPr>
                <w:rFonts w:ascii="Calibri" w:eastAsia="Arial Unicode MS" w:hAnsi="Calibri" w:cs="Calibri"/>
                <w:color w:val="auto"/>
                <w:lang w:val="fr-FR"/>
              </w:rPr>
              <w:t xml:space="preserve"> au </w:t>
            </w:r>
            <w:r w:rsidR="00351421">
              <w:rPr>
                <w:rFonts w:ascii="Calibri" w:eastAsia="Arial Unicode MS" w:hAnsi="Calibri" w:cs="Calibri"/>
                <w:color w:val="auto"/>
                <w:lang w:val="fr-FR"/>
              </w:rPr>
              <w:t>30</w:t>
            </w:r>
            <w:r w:rsidR="00052E4E">
              <w:rPr>
                <w:rFonts w:ascii="Calibri" w:eastAsia="Arial Unicode MS" w:hAnsi="Calibri" w:cs="Calibri"/>
                <w:color w:val="auto"/>
                <w:lang w:val="fr-FR"/>
              </w:rPr>
              <w:t xml:space="preserve"> </w:t>
            </w:r>
            <w:r w:rsidR="00DF472D">
              <w:rPr>
                <w:rFonts w:ascii="Calibri" w:eastAsia="Arial Unicode MS" w:hAnsi="Calibri" w:cs="Calibri"/>
                <w:color w:val="auto"/>
                <w:lang w:val="fr-FR"/>
              </w:rPr>
              <w:t>août</w:t>
            </w:r>
            <w:r w:rsidR="00052E4E">
              <w:rPr>
                <w:rFonts w:ascii="Calibri" w:eastAsia="Arial Unicode MS" w:hAnsi="Calibri" w:cs="Calibri"/>
                <w:color w:val="auto"/>
                <w:lang w:val="fr-FR"/>
              </w:rPr>
              <w:t xml:space="preserve"> </w:t>
            </w:r>
            <w:r w:rsidR="00052E4E" w:rsidRPr="004421EF">
              <w:rPr>
                <w:rFonts w:ascii="Calibri" w:eastAsia="Arial Unicode MS" w:hAnsi="Calibri" w:cs="Calibri"/>
                <w:color w:val="auto"/>
                <w:lang w:val="fr-FR"/>
              </w:rPr>
              <w:t>2022</w:t>
            </w:r>
          </w:p>
        </w:tc>
        <w:tc>
          <w:tcPr>
            <w:tcW w:w="1625" w:type="dxa"/>
            <w:vMerge w:val="restart"/>
            <w:tcBorders>
              <w:left w:val="single" w:sz="8" w:space="0" w:color="6D6D6D"/>
              <w:right w:val="single" w:sz="8" w:space="0" w:color="6D6D6D"/>
            </w:tcBorders>
            <w:shd w:val="clear" w:color="auto" w:fill="9CC2E5" w:themeFill="accent1" w:themeFillTint="99"/>
            <w:vAlign w:val="center"/>
          </w:tcPr>
          <w:p w14:paraId="788FD204" w14:textId="0D7A8DD0" w:rsidR="00052E4E" w:rsidRPr="004774F8" w:rsidRDefault="00052E4E" w:rsidP="00052E4E">
            <w:pPr>
              <w:spacing w:before="60" w:after="60"/>
              <w:jc w:val="center"/>
              <w:rPr>
                <w:rFonts w:ascii="Calibri" w:eastAsia="Arial Unicode MS" w:hAnsi="Calibri" w:cs="Calibri"/>
                <w:color w:val="auto"/>
                <w:lang w:val="fr-FR"/>
              </w:rPr>
            </w:pPr>
            <w:r w:rsidRPr="00E77CDF">
              <w:rPr>
                <w:rFonts w:ascii="Calibri" w:eastAsia="Arial Unicode MS" w:hAnsi="Calibri" w:cs="Calibri"/>
                <w:color w:val="000000" w:themeColor="text1"/>
                <w:lang w:val="fr-FR"/>
              </w:rPr>
              <w:t>40%</w:t>
            </w:r>
          </w:p>
        </w:tc>
      </w:tr>
      <w:tr w:rsidR="00052E4E" w:rsidRPr="004C6830" w14:paraId="2DF58A66" w14:textId="77777777" w:rsidTr="00B51A1B">
        <w:trPr>
          <w:trHeight w:val="1868"/>
        </w:trPr>
        <w:tc>
          <w:tcPr>
            <w:tcW w:w="2785" w:type="dxa"/>
            <w:tcBorders>
              <w:top w:val="single" w:sz="8" w:space="0" w:color="6D6D6D"/>
              <w:left w:val="single" w:sz="8" w:space="0" w:color="6D6D6D"/>
              <w:bottom w:val="single" w:sz="8" w:space="0" w:color="6D6D6D"/>
              <w:right w:val="single" w:sz="8" w:space="0" w:color="6D6D6D"/>
            </w:tcBorders>
            <w:shd w:val="clear" w:color="auto" w:fill="9CC2E5" w:themeFill="accent1" w:themeFillTint="99"/>
            <w:noWrap/>
            <w:vAlign w:val="center"/>
          </w:tcPr>
          <w:p w14:paraId="6EC3F8FC" w14:textId="60F2ED7D" w:rsidR="00052E4E" w:rsidRPr="009623BA" w:rsidRDefault="00052E4E" w:rsidP="0090141F">
            <w:pPr>
              <w:ind w:left="12" w:hanging="12"/>
              <w:jc w:val="both"/>
              <w:rPr>
                <w:rFonts w:ascii="Calibri" w:eastAsia="Arial Unicode MS" w:hAnsi="Calibri" w:cs="Calibri"/>
                <w:color w:val="auto"/>
                <w:lang w:val="fr-FR"/>
              </w:rPr>
            </w:pPr>
            <w:r w:rsidRPr="009623BA">
              <w:rPr>
                <w:rFonts w:ascii="Calibri" w:eastAsia="Arial Unicode MS" w:hAnsi="Calibri" w:cs="Calibri"/>
                <w:color w:val="auto"/>
                <w:lang w:val="fr-FR"/>
              </w:rPr>
              <w:t>Finalisation des 3 rapports et production du rapport final de l’étude</w:t>
            </w:r>
          </w:p>
        </w:tc>
        <w:tc>
          <w:tcPr>
            <w:tcW w:w="4500" w:type="dxa"/>
            <w:tcBorders>
              <w:top w:val="single" w:sz="8" w:space="0" w:color="6D6D6D"/>
              <w:left w:val="single" w:sz="8" w:space="0" w:color="6D6D6D"/>
              <w:bottom w:val="single" w:sz="8" w:space="0" w:color="6D6D6D"/>
              <w:right w:val="single" w:sz="8" w:space="0" w:color="6D6D6D"/>
            </w:tcBorders>
            <w:shd w:val="clear" w:color="auto" w:fill="9CC2E5" w:themeFill="accent1" w:themeFillTint="99"/>
            <w:vAlign w:val="center"/>
          </w:tcPr>
          <w:p w14:paraId="7D080DD7" w14:textId="755EE580" w:rsidR="00052E4E" w:rsidRPr="009623BA" w:rsidRDefault="00052E4E" w:rsidP="0090141F">
            <w:pPr>
              <w:jc w:val="both"/>
              <w:rPr>
                <w:rFonts w:ascii="Calibri" w:eastAsia="Arial Unicode MS" w:hAnsi="Calibri" w:cs="Calibri"/>
                <w:color w:val="auto"/>
                <w:lang w:val="fr-FR"/>
              </w:rPr>
            </w:pPr>
            <w:r w:rsidRPr="009623BA">
              <w:rPr>
                <w:rFonts w:ascii="Calibri" w:eastAsia="Arial Unicode MS" w:hAnsi="Calibri" w:cs="Calibri"/>
                <w:color w:val="auto"/>
                <w:lang w:val="fr-FR"/>
              </w:rPr>
              <w:t xml:space="preserve">- Version finale des 3 </w:t>
            </w:r>
            <w:proofErr w:type="gramStart"/>
            <w:r w:rsidRPr="009623BA">
              <w:rPr>
                <w:rFonts w:ascii="Calibri" w:eastAsia="Arial Unicode MS" w:hAnsi="Calibri" w:cs="Calibri"/>
                <w:color w:val="auto"/>
                <w:lang w:val="fr-FR"/>
              </w:rPr>
              <w:t>rapports  prenant</w:t>
            </w:r>
            <w:proofErr w:type="gramEnd"/>
            <w:r w:rsidRPr="009623BA">
              <w:rPr>
                <w:rFonts w:ascii="Calibri" w:eastAsia="Arial Unicode MS" w:hAnsi="Calibri" w:cs="Calibri"/>
                <w:color w:val="auto"/>
                <w:lang w:val="fr-FR"/>
              </w:rPr>
              <w:t xml:space="preserve"> en compte les observations du comité de pilotage</w:t>
            </w:r>
          </w:p>
          <w:p w14:paraId="3907F2A8" w14:textId="559FBA9B" w:rsidR="00052E4E" w:rsidRPr="009623BA" w:rsidRDefault="00052E4E" w:rsidP="0090141F">
            <w:pPr>
              <w:jc w:val="both"/>
              <w:rPr>
                <w:rFonts w:ascii="Calibri" w:eastAsia="Arial Unicode MS" w:hAnsi="Calibri" w:cs="Calibri"/>
                <w:color w:val="auto"/>
                <w:lang w:val="fr-FR"/>
              </w:rPr>
            </w:pPr>
            <w:r w:rsidRPr="009623BA">
              <w:rPr>
                <w:rFonts w:ascii="Calibri" w:eastAsia="Arial Unicode MS" w:hAnsi="Calibri" w:cs="Calibri"/>
                <w:color w:val="auto"/>
                <w:lang w:val="fr-FR"/>
              </w:rPr>
              <w:t xml:space="preserve">- Rapport de l’atelier de validation du rapport final compilant les 3 rapports (60 pages maximum)  </w:t>
            </w:r>
          </w:p>
          <w:p w14:paraId="580BB327" w14:textId="77777777" w:rsidR="00052E4E" w:rsidRPr="009623BA" w:rsidRDefault="00052E4E" w:rsidP="0090141F">
            <w:pPr>
              <w:ind w:left="12" w:hanging="12"/>
              <w:jc w:val="both"/>
              <w:rPr>
                <w:rFonts w:ascii="Calibri" w:eastAsia="Arial Unicode MS" w:hAnsi="Calibri" w:cs="Calibri"/>
                <w:color w:val="auto"/>
                <w:lang w:val="fr-FR"/>
              </w:rPr>
            </w:pPr>
            <w:r w:rsidRPr="009623BA">
              <w:rPr>
                <w:rFonts w:ascii="Calibri" w:eastAsia="Arial Unicode MS" w:hAnsi="Calibri" w:cs="Calibri"/>
                <w:color w:val="auto"/>
                <w:lang w:val="fr-FR"/>
              </w:rPr>
              <w:t xml:space="preserve"> Synthèse (10 pages) du rapport final accompagné d’une note de plaidoyer pour le grand public</w:t>
            </w:r>
          </w:p>
          <w:p w14:paraId="41554845" w14:textId="77777777" w:rsidR="00761881" w:rsidRPr="009623BA" w:rsidRDefault="00761881" w:rsidP="0090141F">
            <w:pPr>
              <w:ind w:left="12" w:hanging="12"/>
              <w:jc w:val="both"/>
              <w:rPr>
                <w:rFonts w:ascii="Calibri" w:eastAsia="Arial Unicode MS" w:hAnsi="Calibri" w:cs="Calibri"/>
                <w:color w:val="auto"/>
                <w:lang w:val="fr-FR"/>
              </w:rPr>
            </w:pPr>
          </w:p>
          <w:p w14:paraId="6F33CDCF" w14:textId="5666D063" w:rsidR="00761881" w:rsidRPr="009623BA" w:rsidRDefault="00761881" w:rsidP="0090141F">
            <w:pPr>
              <w:ind w:left="12" w:hanging="12"/>
              <w:jc w:val="both"/>
              <w:rPr>
                <w:rFonts w:ascii="Calibri" w:eastAsia="Arial Unicode MS" w:hAnsi="Calibri" w:cs="Calibri"/>
                <w:color w:val="auto"/>
                <w:lang w:val="fr-FR"/>
              </w:rPr>
            </w:pPr>
          </w:p>
        </w:tc>
        <w:tc>
          <w:tcPr>
            <w:tcW w:w="1355" w:type="dxa"/>
            <w:tcBorders>
              <w:left w:val="single" w:sz="8" w:space="0" w:color="6D6D6D"/>
              <w:bottom w:val="single" w:sz="8" w:space="0" w:color="6D6D6D"/>
              <w:right w:val="single" w:sz="8" w:space="0" w:color="6D6D6D"/>
            </w:tcBorders>
            <w:shd w:val="clear" w:color="auto" w:fill="9CC2E5" w:themeFill="accent1" w:themeFillTint="99"/>
            <w:vAlign w:val="center"/>
          </w:tcPr>
          <w:p w14:paraId="316B7E8D" w14:textId="1FC05B50" w:rsidR="00052E4E" w:rsidRPr="009623BA" w:rsidRDefault="00351421" w:rsidP="0020068E">
            <w:pPr>
              <w:spacing w:before="60" w:after="60" w:line="240" w:lineRule="auto"/>
              <w:jc w:val="center"/>
              <w:rPr>
                <w:rFonts w:ascii="Calibri" w:eastAsia="Arial Unicode MS" w:hAnsi="Calibri" w:cs="Calibri"/>
                <w:color w:val="auto"/>
                <w:lang w:val="fr-FR"/>
              </w:rPr>
            </w:pPr>
            <w:r>
              <w:rPr>
                <w:rFonts w:ascii="Calibri" w:eastAsia="Arial Unicode MS" w:hAnsi="Calibri" w:cs="Calibri"/>
                <w:color w:val="auto"/>
                <w:lang w:val="fr-FR"/>
              </w:rPr>
              <w:t>31</w:t>
            </w:r>
            <w:r w:rsidR="00052E4E" w:rsidRPr="009623BA">
              <w:rPr>
                <w:rFonts w:ascii="Calibri" w:eastAsia="Arial Unicode MS" w:hAnsi="Calibri" w:cs="Calibri"/>
                <w:color w:val="auto"/>
                <w:lang w:val="fr-FR"/>
              </w:rPr>
              <w:t xml:space="preserve"> </w:t>
            </w:r>
            <w:r w:rsidR="005F3830">
              <w:rPr>
                <w:rFonts w:ascii="Calibri" w:eastAsia="Arial Unicode MS" w:hAnsi="Calibri" w:cs="Calibri"/>
                <w:color w:val="auto"/>
                <w:lang w:val="fr-FR"/>
              </w:rPr>
              <w:t xml:space="preserve">août </w:t>
            </w:r>
            <w:r w:rsidR="00052E4E" w:rsidRPr="009623BA">
              <w:rPr>
                <w:rFonts w:ascii="Calibri" w:eastAsia="Arial Unicode MS" w:hAnsi="Calibri" w:cs="Calibri"/>
                <w:color w:val="auto"/>
                <w:lang w:val="fr-FR"/>
              </w:rPr>
              <w:t xml:space="preserve">au </w:t>
            </w:r>
            <w:r>
              <w:rPr>
                <w:rFonts w:ascii="Calibri" w:eastAsia="Arial Unicode MS" w:hAnsi="Calibri" w:cs="Calibri"/>
                <w:color w:val="auto"/>
                <w:lang w:val="fr-FR"/>
              </w:rPr>
              <w:t>08</w:t>
            </w:r>
            <w:r w:rsidR="00052E4E" w:rsidRPr="009623BA">
              <w:rPr>
                <w:rFonts w:ascii="Calibri" w:eastAsia="Arial Unicode MS" w:hAnsi="Calibri" w:cs="Calibri"/>
                <w:color w:val="auto"/>
                <w:lang w:val="fr-FR"/>
              </w:rPr>
              <w:t xml:space="preserve"> </w:t>
            </w:r>
            <w:r w:rsidR="005753EF">
              <w:rPr>
                <w:rFonts w:ascii="Calibri" w:eastAsia="Arial Unicode MS" w:hAnsi="Calibri" w:cs="Calibri"/>
                <w:color w:val="auto"/>
                <w:lang w:val="fr-FR"/>
              </w:rPr>
              <w:t>sept.</w:t>
            </w:r>
            <w:r w:rsidR="00052E4E" w:rsidRPr="009623BA">
              <w:rPr>
                <w:rFonts w:ascii="Calibri" w:eastAsia="Arial Unicode MS" w:hAnsi="Calibri" w:cs="Calibri"/>
                <w:color w:val="auto"/>
                <w:lang w:val="fr-FR"/>
              </w:rPr>
              <w:t xml:space="preserve"> 2022</w:t>
            </w:r>
          </w:p>
        </w:tc>
        <w:tc>
          <w:tcPr>
            <w:tcW w:w="1625" w:type="dxa"/>
            <w:vMerge/>
            <w:tcBorders>
              <w:left w:val="single" w:sz="8" w:space="0" w:color="6D6D6D"/>
              <w:bottom w:val="single" w:sz="8" w:space="0" w:color="6D6D6D"/>
              <w:right w:val="single" w:sz="8" w:space="0" w:color="6D6D6D"/>
            </w:tcBorders>
            <w:shd w:val="clear" w:color="auto" w:fill="2E74B5" w:themeFill="accent1" w:themeFillShade="BF"/>
            <w:vAlign w:val="center"/>
          </w:tcPr>
          <w:p w14:paraId="03E2C6E9" w14:textId="4A6DE5D5" w:rsidR="00052E4E" w:rsidRPr="00E77CDF" w:rsidRDefault="00052E4E" w:rsidP="0020068E">
            <w:pPr>
              <w:spacing w:before="60" w:after="60"/>
              <w:jc w:val="center"/>
              <w:rPr>
                <w:rFonts w:ascii="Calibri" w:eastAsia="Arial Unicode MS" w:hAnsi="Calibri" w:cs="Calibri"/>
                <w:color w:val="000000" w:themeColor="text1"/>
                <w:lang w:val="fr-FR"/>
              </w:rPr>
            </w:pPr>
          </w:p>
        </w:tc>
      </w:tr>
    </w:tbl>
    <w:p w14:paraId="7504D15F" w14:textId="54E12C30" w:rsidR="00744368" w:rsidRPr="00FE4305" w:rsidRDefault="00744368" w:rsidP="000C0FE6">
      <w:pPr>
        <w:spacing w:line="240" w:lineRule="auto"/>
        <w:rPr>
          <w:rFonts w:ascii="Calibri" w:eastAsia="Arial Unicode MS" w:hAnsi="Calibri" w:cs="Calibri"/>
          <w:lang w:val="fr-FR"/>
        </w:rPr>
      </w:pPr>
    </w:p>
    <w:sectPr w:rsidR="00744368" w:rsidRPr="00FE4305" w:rsidSect="00F83513">
      <w:headerReference w:type="default" r:id="rId14"/>
      <w:footerReference w:type="default" r:id="rId15"/>
      <w:headerReference w:type="first" r:id="rId16"/>
      <w:footerReference w:type="first" r:id="rId17"/>
      <w:pgSz w:w="11907" w:h="16839" w:code="9"/>
      <w:pgMar w:top="1349" w:right="1224" w:bottom="1440" w:left="1224" w:header="720" w:footer="3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E8016" w14:textId="77777777" w:rsidR="00916A2A" w:rsidRDefault="00916A2A" w:rsidP="000C3710">
      <w:r>
        <w:separator/>
      </w:r>
    </w:p>
  </w:endnote>
  <w:endnote w:type="continuationSeparator" w:id="0">
    <w:p w14:paraId="71D39136" w14:textId="77777777" w:rsidR="00916A2A" w:rsidRDefault="00916A2A"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4"/>
      </w:rPr>
      <w:id w:val="276530582"/>
      <w:docPartObj>
        <w:docPartGallery w:val="Page Numbers (Bottom of Page)"/>
        <w:docPartUnique/>
      </w:docPartObj>
    </w:sdtPr>
    <w:sdtEndPr/>
    <w:sdtContent>
      <w:sdt>
        <w:sdtPr>
          <w:rPr>
            <w:sz w:val="18"/>
            <w:szCs w:val="14"/>
          </w:rPr>
          <w:id w:val="-1769616900"/>
          <w:docPartObj>
            <w:docPartGallery w:val="Page Numbers (Top of Page)"/>
            <w:docPartUnique/>
          </w:docPartObj>
        </w:sdtPr>
        <w:sdtEndPr/>
        <w:sdtContent>
          <w:p w14:paraId="0042F80A" w14:textId="398396D2" w:rsidR="00F83513" w:rsidRPr="00F83513" w:rsidRDefault="00F83513">
            <w:pPr>
              <w:pStyle w:val="Footer"/>
              <w:jc w:val="right"/>
              <w:rPr>
                <w:sz w:val="18"/>
                <w:szCs w:val="14"/>
              </w:rPr>
            </w:pPr>
            <w:r w:rsidRPr="00F83513">
              <w:rPr>
                <w:sz w:val="18"/>
                <w:szCs w:val="14"/>
              </w:rPr>
              <w:t xml:space="preserve">Page </w:t>
            </w:r>
            <w:r w:rsidRPr="00F83513">
              <w:rPr>
                <w:b/>
                <w:bCs/>
                <w:sz w:val="18"/>
                <w:szCs w:val="18"/>
              </w:rPr>
              <w:fldChar w:fldCharType="begin"/>
            </w:r>
            <w:r w:rsidRPr="00F83513">
              <w:rPr>
                <w:b/>
                <w:bCs/>
                <w:sz w:val="18"/>
                <w:szCs w:val="14"/>
              </w:rPr>
              <w:instrText xml:space="preserve"> PAGE </w:instrText>
            </w:r>
            <w:r w:rsidRPr="00F83513">
              <w:rPr>
                <w:b/>
                <w:bCs/>
                <w:sz w:val="18"/>
                <w:szCs w:val="18"/>
              </w:rPr>
              <w:fldChar w:fldCharType="separate"/>
            </w:r>
            <w:r w:rsidRPr="00F83513">
              <w:rPr>
                <w:b/>
                <w:bCs/>
                <w:noProof/>
                <w:sz w:val="18"/>
                <w:szCs w:val="14"/>
              </w:rPr>
              <w:t>2</w:t>
            </w:r>
            <w:r w:rsidRPr="00F83513">
              <w:rPr>
                <w:b/>
                <w:bCs/>
                <w:sz w:val="18"/>
                <w:szCs w:val="18"/>
              </w:rPr>
              <w:fldChar w:fldCharType="end"/>
            </w:r>
            <w:r w:rsidRPr="00F83513">
              <w:rPr>
                <w:sz w:val="18"/>
                <w:szCs w:val="14"/>
              </w:rPr>
              <w:t xml:space="preserve"> of </w:t>
            </w:r>
            <w:r w:rsidRPr="00F83513">
              <w:rPr>
                <w:b/>
                <w:bCs/>
                <w:sz w:val="18"/>
                <w:szCs w:val="18"/>
              </w:rPr>
              <w:fldChar w:fldCharType="begin"/>
            </w:r>
            <w:r w:rsidRPr="00F83513">
              <w:rPr>
                <w:b/>
                <w:bCs/>
                <w:sz w:val="18"/>
                <w:szCs w:val="14"/>
              </w:rPr>
              <w:instrText xml:space="preserve"> NUMPAGES  </w:instrText>
            </w:r>
            <w:r w:rsidRPr="00F83513">
              <w:rPr>
                <w:b/>
                <w:bCs/>
                <w:sz w:val="18"/>
                <w:szCs w:val="18"/>
              </w:rPr>
              <w:fldChar w:fldCharType="separate"/>
            </w:r>
            <w:r w:rsidRPr="00F83513">
              <w:rPr>
                <w:b/>
                <w:bCs/>
                <w:noProof/>
                <w:sz w:val="18"/>
                <w:szCs w:val="14"/>
              </w:rPr>
              <w:t>2</w:t>
            </w:r>
            <w:r w:rsidRPr="00F83513">
              <w:rPr>
                <w:b/>
                <w:bCs/>
                <w:sz w:val="18"/>
                <w:szCs w:val="18"/>
              </w:rPr>
              <w:fldChar w:fldCharType="end"/>
            </w:r>
          </w:p>
        </w:sdtContent>
      </w:sdt>
    </w:sdtContent>
  </w:sdt>
  <w:p w14:paraId="3A648BA7" w14:textId="5C89878D" w:rsidR="003B7251" w:rsidRPr="00F83513" w:rsidRDefault="003B7251" w:rsidP="00257BD7">
    <w:pPr>
      <w:pStyle w:val="Footer"/>
      <w:tabs>
        <w:tab w:val="clear" w:pos="4680"/>
        <w:tab w:val="clear" w:pos="9360"/>
        <w:tab w:val="left" w:pos="90"/>
        <w:tab w:val="left" w:pos="1236"/>
      </w:tabs>
      <w:rPr>
        <w:rFonts w:ascii="Arial" w:hAnsi="Arial" w:cs="Arial"/>
        <w:sz w:val="12"/>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74892"/>
      <w:docPartObj>
        <w:docPartGallery w:val="Page Numbers (Bottom of Page)"/>
        <w:docPartUnique/>
      </w:docPartObj>
    </w:sdtPr>
    <w:sdtEndPr>
      <w:rPr>
        <w:noProof/>
      </w:rPr>
    </w:sdtEndPr>
    <w:sdtContent>
      <w:p w14:paraId="0CBE2E23" w14:textId="55627A46" w:rsidR="00F83513" w:rsidRDefault="00F835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E4CF1" w14:textId="77777777" w:rsidR="00F83513" w:rsidRDefault="00F83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38022" w14:textId="77777777" w:rsidR="00916A2A" w:rsidRDefault="00916A2A" w:rsidP="000C3710">
      <w:r>
        <w:separator/>
      </w:r>
    </w:p>
  </w:footnote>
  <w:footnote w:type="continuationSeparator" w:id="0">
    <w:p w14:paraId="0E5C2586" w14:textId="77777777" w:rsidR="00916A2A" w:rsidRDefault="00916A2A"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D0786B"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098CBC"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992B56"/>
    <w:multiLevelType w:val="hybridMultilevel"/>
    <w:tmpl w:val="C1C2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A494A"/>
    <w:multiLevelType w:val="hybridMultilevel"/>
    <w:tmpl w:val="66EA9F26"/>
    <w:lvl w:ilvl="0" w:tplc="4CDC198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23CBE"/>
    <w:multiLevelType w:val="hybridMultilevel"/>
    <w:tmpl w:val="4AB21150"/>
    <w:lvl w:ilvl="0" w:tplc="1556F2DA">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34743"/>
    <w:multiLevelType w:val="hybridMultilevel"/>
    <w:tmpl w:val="BAA49E60"/>
    <w:lvl w:ilvl="0" w:tplc="34ECC0E2">
      <w:start w:val="1"/>
      <w:numFmt w:val="decimal"/>
      <w:lvlText w:val="%1."/>
      <w:lvlJc w:val="left"/>
      <w:pPr>
        <w:ind w:left="720" w:hanging="360"/>
      </w:pPr>
      <w:rPr>
        <w:rFonts w:ascii="Times New Roman" w:eastAsia="Times"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9237CA"/>
    <w:multiLevelType w:val="hybridMultilevel"/>
    <w:tmpl w:val="E41E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6"/>
  </w:num>
  <w:num w:numId="4">
    <w:abstractNumId w:val="13"/>
  </w:num>
  <w:num w:numId="5">
    <w:abstractNumId w:val="12"/>
  </w:num>
  <w:num w:numId="6">
    <w:abstractNumId w:val="17"/>
  </w:num>
  <w:num w:numId="7">
    <w:abstractNumId w:val="25"/>
  </w:num>
  <w:num w:numId="8">
    <w:abstractNumId w:val="26"/>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3"/>
  </w:num>
  <w:num w:numId="11">
    <w:abstractNumId w:val="21"/>
  </w:num>
  <w:num w:numId="12">
    <w:abstractNumId w:val="27"/>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4"/>
  </w:num>
  <w:num w:numId="25">
    <w:abstractNumId w:val="22"/>
  </w:num>
  <w:num w:numId="26">
    <w:abstractNumId w:val="20"/>
  </w:num>
  <w:num w:numId="27">
    <w:abstractNumId w:val="15"/>
  </w:num>
  <w:num w:numId="28">
    <w:abstractNumId w:val="1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995"/>
    <w:rsid w:val="00007E4A"/>
    <w:rsid w:val="000241D1"/>
    <w:rsid w:val="00025F29"/>
    <w:rsid w:val="00030834"/>
    <w:rsid w:val="000310DE"/>
    <w:rsid w:val="00034C4E"/>
    <w:rsid w:val="000415E9"/>
    <w:rsid w:val="0004433C"/>
    <w:rsid w:val="00052E4E"/>
    <w:rsid w:val="00053D9E"/>
    <w:rsid w:val="00056A18"/>
    <w:rsid w:val="000576DC"/>
    <w:rsid w:val="00066CAF"/>
    <w:rsid w:val="00076437"/>
    <w:rsid w:val="0008401B"/>
    <w:rsid w:val="00084EA2"/>
    <w:rsid w:val="00096574"/>
    <w:rsid w:val="00097E44"/>
    <w:rsid w:val="000A6F7B"/>
    <w:rsid w:val="000A7045"/>
    <w:rsid w:val="000A79B6"/>
    <w:rsid w:val="000B5829"/>
    <w:rsid w:val="000B6C43"/>
    <w:rsid w:val="000C0FE6"/>
    <w:rsid w:val="000C1EAA"/>
    <w:rsid w:val="000C3710"/>
    <w:rsid w:val="000C61F2"/>
    <w:rsid w:val="000D0E76"/>
    <w:rsid w:val="000D6CA1"/>
    <w:rsid w:val="000E1755"/>
    <w:rsid w:val="000E2589"/>
    <w:rsid w:val="000E3253"/>
    <w:rsid w:val="000E414F"/>
    <w:rsid w:val="000E4D76"/>
    <w:rsid w:val="000E69F3"/>
    <w:rsid w:val="000F2C75"/>
    <w:rsid w:val="000F6440"/>
    <w:rsid w:val="000F7711"/>
    <w:rsid w:val="00101862"/>
    <w:rsid w:val="0010434C"/>
    <w:rsid w:val="00107B7A"/>
    <w:rsid w:val="00111E4D"/>
    <w:rsid w:val="00112DEE"/>
    <w:rsid w:val="0011359D"/>
    <w:rsid w:val="00116936"/>
    <w:rsid w:val="001221C5"/>
    <w:rsid w:val="001273DD"/>
    <w:rsid w:val="00127576"/>
    <w:rsid w:val="00131ED5"/>
    <w:rsid w:val="00136CA8"/>
    <w:rsid w:val="001371B3"/>
    <w:rsid w:val="0014745F"/>
    <w:rsid w:val="0015109B"/>
    <w:rsid w:val="001555CD"/>
    <w:rsid w:val="0015757A"/>
    <w:rsid w:val="00157F4D"/>
    <w:rsid w:val="001637C2"/>
    <w:rsid w:val="00164C95"/>
    <w:rsid w:val="00165C9B"/>
    <w:rsid w:val="00172CD8"/>
    <w:rsid w:val="0017568C"/>
    <w:rsid w:val="00175E9C"/>
    <w:rsid w:val="00176711"/>
    <w:rsid w:val="001777A4"/>
    <w:rsid w:val="00182C1C"/>
    <w:rsid w:val="00183FA9"/>
    <w:rsid w:val="0018600A"/>
    <w:rsid w:val="00186E13"/>
    <w:rsid w:val="00190E41"/>
    <w:rsid w:val="0019248F"/>
    <w:rsid w:val="00195A10"/>
    <w:rsid w:val="001A4B63"/>
    <w:rsid w:val="001B190C"/>
    <w:rsid w:val="001B284D"/>
    <w:rsid w:val="001B4445"/>
    <w:rsid w:val="001B5D66"/>
    <w:rsid w:val="001C0578"/>
    <w:rsid w:val="001D3304"/>
    <w:rsid w:val="001E112E"/>
    <w:rsid w:val="001E6E2B"/>
    <w:rsid w:val="001E7405"/>
    <w:rsid w:val="001F08D4"/>
    <w:rsid w:val="001F416D"/>
    <w:rsid w:val="001F651F"/>
    <w:rsid w:val="001F7D7C"/>
    <w:rsid w:val="0020068E"/>
    <w:rsid w:val="002072D5"/>
    <w:rsid w:val="00213A86"/>
    <w:rsid w:val="00215E5E"/>
    <w:rsid w:val="0022123C"/>
    <w:rsid w:val="00222F56"/>
    <w:rsid w:val="00233E0A"/>
    <w:rsid w:val="00234AD4"/>
    <w:rsid w:val="0024411A"/>
    <w:rsid w:val="002460BE"/>
    <w:rsid w:val="00247353"/>
    <w:rsid w:val="00251BE3"/>
    <w:rsid w:val="002552BD"/>
    <w:rsid w:val="00257BD7"/>
    <w:rsid w:val="00257F2E"/>
    <w:rsid w:val="00261324"/>
    <w:rsid w:val="002659AE"/>
    <w:rsid w:val="0026644B"/>
    <w:rsid w:val="00270163"/>
    <w:rsid w:val="002713F4"/>
    <w:rsid w:val="00274AAE"/>
    <w:rsid w:val="002779A9"/>
    <w:rsid w:val="002820EF"/>
    <w:rsid w:val="002843B8"/>
    <w:rsid w:val="00285811"/>
    <w:rsid w:val="00293255"/>
    <w:rsid w:val="002952E4"/>
    <w:rsid w:val="002A2F65"/>
    <w:rsid w:val="002A5D5B"/>
    <w:rsid w:val="002B2A26"/>
    <w:rsid w:val="002B6832"/>
    <w:rsid w:val="002B7647"/>
    <w:rsid w:val="002B7E57"/>
    <w:rsid w:val="002C04A9"/>
    <w:rsid w:val="002C4849"/>
    <w:rsid w:val="002C5AA6"/>
    <w:rsid w:val="002C5DB6"/>
    <w:rsid w:val="002D0C54"/>
    <w:rsid w:val="002D16CD"/>
    <w:rsid w:val="002D38E9"/>
    <w:rsid w:val="002D41E8"/>
    <w:rsid w:val="002D4DEF"/>
    <w:rsid w:val="002D62E4"/>
    <w:rsid w:val="002D7D3A"/>
    <w:rsid w:val="002E443D"/>
    <w:rsid w:val="002E4AD7"/>
    <w:rsid w:val="002F2367"/>
    <w:rsid w:val="002F7D8C"/>
    <w:rsid w:val="002F7EEE"/>
    <w:rsid w:val="00301D8F"/>
    <w:rsid w:val="00306E1E"/>
    <w:rsid w:val="003117C2"/>
    <w:rsid w:val="00315FB6"/>
    <w:rsid w:val="00320886"/>
    <w:rsid w:val="00320A51"/>
    <w:rsid w:val="0032151B"/>
    <w:rsid w:val="00340216"/>
    <w:rsid w:val="003408DA"/>
    <w:rsid w:val="003412C3"/>
    <w:rsid w:val="0034354C"/>
    <w:rsid w:val="003466FC"/>
    <w:rsid w:val="00351421"/>
    <w:rsid w:val="00353547"/>
    <w:rsid w:val="0035655E"/>
    <w:rsid w:val="00361834"/>
    <w:rsid w:val="00364042"/>
    <w:rsid w:val="003655B8"/>
    <w:rsid w:val="0037152D"/>
    <w:rsid w:val="0037166C"/>
    <w:rsid w:val="00372E4B"/>
    <w:rsid w:val="00373453"/>
    <w:rsid w:val="0037425C"/>
    <w:rsid w:val="00377BF5"/>
    <w:rsid w:val="00377E69"/>
    <w:rsid w:val="00380064"/>
    <w:rsid w:val="0038200F"/>
    <w:rsid w:val="00396BF0"/>
    <w:rsid w:val="00397355"/>
    <w:rsid w:val="003A00B6"/>
    <w:rsid w:val="003A17D1"/>
    <w:rsid w:val="003B3F83"/>
    <w:rsid w:val="003B52AA"/>
    <w:rsid w:val="003B7251"/>
    <w:rsid w:val="003C1BC1"/>
    <w:rsid w:val="003C2A8A"/>
    <w:rsid w:val="003C3500"/>
    <w:rsid w:val="003C4672"/>
    <w:rsid w:val="003C48FF"/>
    <w:rsid w:val="003C719D"/>
    <w:rsid w:val="003D04D3"/>
    <w:rsid w:val="003D0F6C"/>
    <w:rsid w:val="003D174E"/>
    <w:rsid w:val="003D2448"/>
    <w:rsid w:val="003D2BCF"/>
    <w:rsid w:val="003D42F1"/>
    <w:rsid w:val="003D7B52"/>
    <w:rsid w:val="003E1116"/>
    <w:rsid w:val="003E4220"/>
    <w:rsid w:val="003E56D4"/>
    <w:rsid w:val="003E7E75"/>
    <w:rsid w:val="00407258"/>
    <w:rsid w:val="00407853"/>
    <w:rsid w:val="00411C18"/>
    <w:rsid w:val="00411F46"/>
    <w:rsid w:val="004160E9"/>
    <w:rsid w:val="00416141"/>
    <w:rsid w:val="004165A6"/>
    <w:rsid w:val="004177A3"/>
    <w:rsid w:val="00422305"/>
    <w:rsid w:val="00424ACD"/>
    <w:rsid w:val="00433F97"/>
    <w:rsid w:val="00435AB0"/>
    <w:rsid w:val="0043646D"/>
    <w:rsid w:val="004374F7"/>
    <w:rsid w:val="004421EF"/>
    <w:rsid w:val="004429D6"/>
    <w:rsid w:val="00444824"/>
    <w:rsid w:val="00445CFF"/>
    <w:rsid w:val="00446D88"/>
    <w:rsid w:val="00447F52"/>
    <w:rsid w:val="004672A4"/>
    <w:rsid w:val="00471DD0"/>
    <w:rsid w:val="00472650"/>
    <w:rsid w:val="00472BBD"/>
    <w:rsid w:val="004774F8"/>
    <w:rsid w:val="004809D8"/>
    <w:rsid w:val="00481D11"/>
    <w:rsid w:val="004829F6"/>
    <w:rsid w:val="004A64C8"/>
    <w:rsid w:val="004A6CA6"/>
    <w:rsid w:val="004A6EC8"/>
    <w:rsid w:val="004B276A"/>
    <w:rsid w:val="004C6830"/>
    <w:rsid w:val="004D08C1"/>
    <w:rsid w:val="004D2245"/>
    <w:rsid w:val="004D5D35"/>
    <w:rsid w:val="004E2D0B"/>
    <w:rsid w:val="004E67BE"/>
    <w:rsid w:val="004F1A27"/>
    <w:rsid w:val="005016E8"/>
    <w:rsid w:val="005032F9"/>
    <w:rsid w:val="005075C6"/>
    <w:rsid w:val="00507F8F"/>
    <w:rsid w:val="00511A6E"/>
    <w:rsid w:val="00515086"/>
    <w:rsid w:val="00516D35"/>
    <w:rsid w:val="00523923"/>
    <w:rsid w:val="005246DC"/>
    <w:rsid w:val="005356FF"/>
    <w:rsid w:val="005364C1"/>
    <w:rsid w:val="00544027"/>
    <w:rsid w:val="00544A89"/>
    <w:rsid w:val="005458F2"/>
    <w:rsid w:val="0054592E"/>
    <w:rsid w:val="00546CDA"/>
    <w:rsid w:val="00547CBE"/>
    <w:rsid w:val="00550436"/>
    <w:rsid w:val="00567696"/>
    <w:rsid w:val="00567D67"/>
    <w:rsid w:val="005753EF"/>
    <w:rsid w:val="00575832"/>
    <w:rsid w:val="005763AF"/>
    <w:rsid w:val="0057678C"/>
    <w:rsid w:val="00591246"/>
    <w:rsid w:val="0059671E"/>
    <w:rsid w:val="005A46A7"/>
    <w:rsid w:val="005A643C"/>
    <w:rsid w:val="005A6A6B"/>
    <w:rsid w:val="005B3739"/>
    <w:rsid w:val="005B6452"/>
    <w:rsid w:val="005C3B1F"/>
    <w:rsid w:val="005C56D0"/>
    <w:rsid w:val="005C7D38"/>
    <w:rsid w:val="005D0BBF"/>
    <w:rsid w:val="005D3FDF"/>
    <w:rsid w:val="005D560A"/>
    <w:rsid w:val="005E3863"/>
    <w:rsid w:val="005E4BD9"/>
    <w:rsid w:val="005E629A"/>
    <w:rsid w:val="005E6FE1"/>
    <w:rsid w:val="005F3830"/>
    <w:rsid w:val="005F3AFC"/>
    <w:rsid w:val="006007DA"/>
    <w:rsid w:val="00603254"/>
    <w:rsid w:val="0060328D"/>
    <w:rsid w:val="00626681"/>
    <w:rsid w:val="00626DE1"/>
    <w:rsid w:val="0062757F"/>
    <w:rsid w:val="00627E33"/>
    <w:rsid w:val="00632D59"/>
    <w:rsid w:val="006338A5"/>
    <w:rsid w:val="00644D1C"/>
    <w:rsid w:val="00653E0C"/>
    <w:rsid w:val="006579B7"/>
    <w:rsid w:val="00661BE1"/>
    <w:rsid w:val="0066262A"/>
    <w:rsid w:val="00662BA9"/>
    <w:rsid w:val="006642C4"/>
    <w:rsid w:val="006673CD"/>
    <w:rsid w:val="006677F6"/>
    <w:rsid w:val="00670A4B"/>
    <w:rsid w:val="00674FCB"/>
    <w:rsid w:val="0068655C"/>
    <w:rsid w:val="006907A6"/>
    <w:rsid w:val="006921D1"/>
    <w:rsid w:val="006968C1"/>
    <w:rsid w:val="006A2CDD"/>
    <w:rsid w:val="006A5CFB"/>
    <w:rsid w:val="006B21AC"/>
    <w:rsid w:val="006B4298"/>
    <w:rsid w:val="006B5BA0"/>
    <w:rsid w:val="006B61B1"/>
    <w:rsid w:val="006B7F68"/>
    <w:rsid w:val="006C5703"/>
    <w:rsid w:val="006C688F"/>
    <w:rsid w:val="006C7D5A"/>
    <w:rsid w:val="006D1BD7"/>
    <w:rsid w:val="006D505A"/>
    <w:rsid w:val="006D6C69"/>
    <w:rsid w:val="006E3839"/>
    <w:rsid w:val="006E4548"/>
    <w:rsid w:val="006F3357"/>
    <w:rsid w:val="006F3866"/>
    <w:rsid w:val="006F5DC9"/>
    <w:rsid w:val="007001DA"/>
    <w:rsid w:val="0070263C"/>
    <w:rsid w:val="00704D42"/>
    <w:rsid w:val="00707098"/>
    <w:rsid w:val="00711C06"/>
    <w:rsid w:val="0071297F"/>
    <w:rsid w:val="00744368"/>
    <w:rsid w:val="00746FD9"/>
    <w:rsid w:val="0075490C"/>
    <w:rsid w:val="00756755"/>
    <w:rsid w:val="00756E68"/>
    <w:rsid w:val="00757A9D"/>
    <w:rsid w:val="007613B3"/>
    <w:rsid w:val="00761881"/>
    <w:rsid w:val="00770522"/>
    <w:rsid w:val="00771E72"/>
    <w:rsid w:val="00774438"/>
    <w:rsid w:val="007826F8"/>
    <w:rsid w:val="007833C7"/>
    <w:rsid w:val="00793B14"/>
    <w:rsid w:val="00796A3F"/>
    <w:rsid w:val="007A0DBD"/>
    <w:rsid w:val="007A3EBB"/>
    <w:rsid w:val="007A55FD"/>
    <w:rsid w:val="007B6BF8"/>
    <w:rsid w:val="007B7B91"/>
    <w:rsid w:val="007C6BFE"/>
    <w:rsid w:val="007C7F78"/>
    <w:rsid w:val="007D1057"/>
    <w:rsid w:val="007D5968"/>
    <w:rsid w:val="007D60E6"/>
    <w:rsid w:val="007D7750"/>
    <w:rsid w:val="007E31DC"/>
    <w:rsid w:val="007E73F5"/>
    <w:rsid w:val="007F3DD2"/>
    <w:rsid w:val="007F767D"/>
    <w:rsid w:val="00801C3E"/>
    <w:rsid w:val="0080603F"/>
    <w:rsid w:val="00806AF3"/>
    <w:rsid w:val="008074EE"/>
    <w:rsid w:val="00812FFA"/>
    <w:rsid w:val="00813D3A"/>
    <w:rsid w:val="008225BE"/>
    <w:rsid w:val="00823247"/>
    <w:rsid w:val="00823D71"/>
    <w:rsid w:val="0082619E"/>
    <w:rsid w:val="00845125"/>
    <w:rsid w:val="0084569A"/>
    <w:rsid w:val="00861563"/>
    <w:rsid w:val="00865EAD"/>
    <w:rsid w:val="00873C12"/>
    <w:rsid w:val="0088013C"/>
    <w:rsid w:val="008833D8"/>
    <w:rsid w:val="00883D70"/>
    <w:rsid w:val="00884F21"/>
    <w:rsid w:val="0088525A"/>
    <w:rsid w:val="00887F82"/>
    <w:rsid w:val="00891DF6"/>
    <w:rsid w:val="008A0C4D"/>
    <w:rsid w:val="008B0A0B"/>
    <w:rsid w:val="008B0FD9"/>
    <w:rsid w:val="008B3BDE"/>
    <w:rsid w:val="008B7BED"/>
    <w:rsid w:val="008C4111"/>
    <w:rsid w:val="008C5761"/>
    <w:rsid w:val="008D1B13"/>
    <w:rsid w:val="008D27E6"/>
    <w:rsid w:val="008D79DD"/>
    <w:rsid w:val="008E375E"/>
    <w:rsid w:val="008E41FC"/>
    <w:rsid w:val="008F0C2F"/>
    <w:rsid w:val="008F506C"/>
    <w:rsid w:val="0090065A"/>
    <w:rsid w:val="0090141F"/>
    <w:rsid w:val="00903E9D"/>
    <w:rsid w:val="00905953"/>
    <w:rsid w:val="00906E2A"/>
    <w:rsid w:val="0091382D"/>
    <w:rsid w:val="00915BEA"/>
    <w:rsid w:val="009166C1"/>
    <w:rsid w:val="00916A2A"/>
    <w:rsid w:val="00916FED"/>
    <w:rsid w:val="009203FF"/>
    <w:rsid w:val="00922852"/>
    <w:rsid w:val="009247BD"/>
    <w:rsid w:val="00927EBF"/>
    <w:rsid w:val="00930AAF"/>
    <w:rsid w:val="00932D58"/>
    <w:rsid w:val="009413B2"/>
    <w:rsid w:val="00943830"/>
    <w:rsid w:val="009512AC"/>
    <w:rsid w:val="0095309F"/>
    <w:rsid w:val="00960715"/>
    <w:rsid w:val="009623BA"/>
    <w:rsid w:val="0096249B"/>
    <w:rsid w:val="00962CA4"/>
    <w:rsid w:val="00962F0B"/>
    <w:rsid w:val="009637FF"/>
    <w:rsid w:val="00963C52"/>
    <w:rsid w:val="009657AF"/>
    <w:rsid w:val="00970EBD"/>
    <w:rsid w:val="00975550"/>
    <w:rsid w:val="00982BAB"/>
    <w:rsid w:val="00991FB2"/>
    <w:rsid w:val="009928B5"/>
    <w:rsid w:val="00995BE6"/>
    <w:rsid w:val="009A1C63"/>
    <w:rsid w:val="009B26A3"/>
    <w:rsid w:val="009B3C84"/>
    <w:rsid w:val="009B4132"/>
    <w:rsid w:val="009B5FC8"/>
    <w:rsid w:val="009B6BAC"/>
    <w:rsid w:val="009C5CB1"/>
    <w:rsid w:val="009C7BAE"/>
    <w:rsid w:val="009D35C3"/>
    <w:rsid w:val="009D5ED5"/>
    <w:rsid w:val="009D78CA"/>
    <w:rsid w:val="009E758D"/>
    <w:rsid w:val="009F0B05"/>
    <w:rsid w:val="009F26B0"/>
    <w:rsid w:val="00A0375D"/>
    <w:rsid w:val="00A11FA1"/>
    <w:rsid w:val="00A15D12"/>
    <w:rsid w:val="00A3477D"/>
    <w:rsid w:val="00A37759"/>
    <w:rsid w:val="00A56EC7"/>
    <w:rsid w:val="00A6013C"/>
    <w:rsid w:val="00A71AB3"/>
    <w:rsid w:val="00A73543"/>
    <w:rsid w:val="00A74181"/>
    <w:rsid w:val="00A7722C"/>
    <w:rsid w:val="00A80C16"/>
    <w:rsid w:val="00A8354D"/>
    <w:rsid w:val="00A9050E"/>
    <w:rsid w:val="00A91A00"/>
    <w:rsid w:val="00A94248"/>
    <w:rsid w:val="00AB27D8"/>
    <w:rsid w:val="00AB2D52"/>
    <w:rsid w:val="00AC083A"/>
    <w:rsid w:val="00AC78AC"/>
    <w:rsid w:val="00AC7BE1"/>
    <w:rsid w:val="00AD43FA"/>
    <w:rsid w:val="00AE48C4"/>
    <w:rsid w:val="00AF077A"/>
    <w:rsid w:val="00AF3B0E"/>
    <w:rsid w:val="00B01CA5"/>
    <w:rsid w:val="00B02636"/>
    <w:rsid w:val="00B05ABF"/>
    <w:rsid w:val="00B06A04"/>
    <w:rsid w:val="00B14BE6"/>
    <w:rsid w:val="00B20D71"/>
    <w:rsid w:val="00B21337"/>
    <w:rsid w:val="00B21BC3"/>
    <w:rsid w:val="00B22A61"/>
    <w:rsid w:val="00B22FF0"/>
    <w:rsid w:val="00B25923"/>
    <w:rsid w:val="00B35723"/>
    <w:rsid w:val="00B37562"/>
    <w:rsid w:val="00B4127F"/>
    <w:rsid w:val="00B415E7"/>
    <w:rsid w:val="00B50F46"/>
    <w:rsid w:val="00B51737"/>
    <w:rsid w:val="00B51A1B"/>
    <w:rsid w:val="00B61536"/>
    <w:rsid w:val="00B629EA"/>
    <w:rsid w:val="00B63E76"/>
    <w:rsid w:val="00B66698"/>
    <w:rsid w:val="00B677D8"/>
    <w:rsid w:val="00B814B7"/>
    <w:rsid w:val="00B84938"/>
    <w:rsid w:val="00B92716"/>
    <w:rsid w:val="00B94B5E"/>
    <w:rsid w:val="00B9587A"/>
    <w:rsid w:val="00B96CAE"/>
    <w:rsid w:val="00BA214F"/>
    <w:rsid w:val="00BA2190"/>
    <w:rsid w:val="00BB1006"/>
    <w:rsid w:val="00BB46B1"/>
    <w:rsid w:val="00BB4A6F"/>
    <w:rsid w:val="00BB6AD8"/>
    <w:rsid w:val="00BB7436"/>
    <w:rsid w:val="00BC0092"/>
    <w:rsid w:val="00BC06E9"/>
    <w:rsid w:val="00BC18B2"/>
    <w:rsid w:val="00BC2687"/>
    <w:rsid w:val="00BC5044"/>
    <w:rsid w:val="00BD5835"/>
    <w:rsid w:val="00BD64E8"/>
    <w:rsid w:val="00BD752B"/>
    <w:rsid w:val="00BE1D9F"/>
    <w:rsid w:val="00BE258A"/>
    <w:rsid w:val="00BE3388"/>
    <w:rsid w:val="00BE7DBA"/>
    <w:rsid w:val="00BF11D0"/>
    <w:rsid w:val="00BF605F"/>
    <w:rsid w:val="00BF7FB6"/>
    <w:rsid w:val="00C030E7"/>
    <w:rsid w:val="00C046B2"/>
    <w:rsid w:val="00C1367F"/>
    <w:rsid w:val="00C15D2A"/>
    <w:rsid w:val="00C205D8"/>
    <w:rsid w:val="00C25DC0"/>
    <w:rsid w:val="00C34C2B"/>
    <w:rsid w:val="00C401E7"/>
    <w:rsid w:val="00C44265"/>
    <w:rsid w:val="00C448ED"/>
    <w:rsid w:val="00C46985"/>
    <w:rsid w:val="00C60CCF"/>
    <w:rsid w:val="00C62EFB"/>
    <w:rsid w:val="00C67879"/>
    <w:rsid w:val="00C73384"/>
    <w:rsid w:val="00C756A2"/>
    <w:rsid w:val="00C77B32"/>
    <w:rsid w:val="00C84822"/>
    <w:rsid w:val="00C92726"/>
    <w:rsid w:val="00C9560C"/>
    <w:rsid w:val="00C972F8"/>
    <w:rsid w:val="00CB0166"/>
    <w:rsid w:val="00CB3A47"/>
    <w:rsid w:val="00CC4C93"/>
    <w:rsid w:val="00CC4E57"/>
    <w:rsid w:val="00CD0A72"/>
    <w:rsid w:val="00CD2415"/>
    <w:rsid w:val="00CD3149"/>
    <w:rsid w:val="00CD3E5C"/>
    <w:rsid w:val="00CE46A7"/>
    <w:rsid w:val="00CE769B"/>
    <w:rsid w:val="00D03797"/>
    <w:rsid w:val="00D042EF"/>
    <w:rsid w:val="00D05933"/>
    <w:rsid w:val="00D148FE"/>
    <w:rsid w:val="00D154C4"/>
    <w:rsid w:val="00D24CAD"/>
    <w:rsid w:val="00D24E21"/>
    <w:rsid w:val="00D26336"/>
    <w:rsid w:val="00D31E86"/>
    <w:rsid w:val="00D31FA0"/>
    <w:rsid w:val="00D3303B"/>
    <w:rsid w:val="00D35998"/>
    <w:rsid w:val="00D460BE"/>
    <w:rsid w:val="00D5258E"/>
    <w:rsid w:val="00D541BC"/>
    <w:rsid w:val="00D61A9A"/>
    <w:rsid w:val="00D6294B"/>
    <w:rsid w:val="00D64897"/>
    <w:rsid w:val="00D67207"/>
    <w:rsid w:val="00D675C4"/>
    <w:rsid w:val="00D67C56"/>
    <w:rsid w:val="00D72E5E"/>
    <w:rsid w:val="00D8059B"/>
    <w:rsid w:val="00D807F2"/>
    <w:rsid w:val="00D809BE"/>
    <w:rsid w:val="00D83EA2"/>
    <w:rsid w:val="00D84097"/>
    <w:rsid w:val="00D85D89"/>
    <w:rsid w:val="00D86D91"/>
    <w:rsid w:val="00D87D87"/>
    <w:rsid w:val="00D92AE1"/>
    <w:rsid w:val="00DB7F9F"/>
    <w:rsid w:val="00DD059E"/>
    <w:rsid w:val="00DE40E3"/>
    <w:rsid w:val="00DF263B"/>
    <w:rsid w:val="00DF472D"/>
    <w:rsid w:val="00E00B53"/>
    <w:rsid w:val="00E01A8F"/>
    <w:rsid w:val="00E10D2C"/>
    <w:rsid w:val="00E110C2"/>
    <w:rsid w:val="00E13740"/>
    <w:rsid w:val="00E1448A"/>
    <w:rsid w:val="00E15218"/>
    <w:rsid w:val="00E2153C"/>
    <w:rsid w:val="00E24709"/>
    <w:rsid w:val="00E2550C"/>
    <w:rsid w:val="00E33407"/>
    <w:rsid w:val="00E41D8B"/>
    <w:rsid w:val="00E5163F"/>
    <w:rsid w:val="00E54A5D"/>
    <w:rsid w:val="00E55B2F"/>
    <w:rsid w:val="00E5630B"/>
    <w:rsid w:val="00E612AA"/>
    <w:rsid w:val="00E61D56"/>
    <w:rsid w:val="00E62C10"/>
    <w:rsid w:val="00E630F3"/>
    <w:rsid w:val="00E654DC"/>
    <w:rsid w:val="00E71313"/>
    <w:rsid w:val="00E77CDF"/>
    <w:rsid w:val="00E82A93"/>
    <w:rsid w:val="00E927C9"/>
    <w:rsid w:val="00E93BD0"/>
    <w:rsid w:val="00EA15C1"/>
    <w:rsid w:val="00EA3ABE"/>
    <w:rsid w:val="00EA6D4D"/>
    <w:rsid w:val="00EB1DB0"/>
    <w:rsid w:val="00EB61FD"/>
    <w:rsid w:val="00EB76A6"/>
    <w:rsid w:val="00EC5E3A"/>
    <w:rsid w:val="00ED3B34"/>
    <w:rsid w:val="00EE3A60"/>
    <w:rsid w:val="00EE3C72"/>
    <w:rsid w:val="00EE5DFD"/>
    <w:rsid w:val="00EE7747"/>
    <w:rsid w:val="00EF5A83"/>
    <w:rsid w:val="00F027D0"/>
    <w:rsid w:val="00F15AAB"/>
    <w:rsid w:val="00F2296D"/>
    <w:rsid w:val="00F2300E"/>
    <w:rsid w:val="00F24528"/>
    <w:rsid w:val="00F246C3"/>
    <w:rsid w:val="00F31886"/>
    <w:rsid w:val="00F349B0"/>
    <w:rsid w:val="00F34F74"/>
    <w:rsid w:val="00F35E74"/>
    <w:rsid w:val="00F41B2C"/>
    <w:rsid w:val="00F46EE0"/>
    <w:rsid w:val="00F509A4"/>
    <w:rsid w:val="00F54281"/>
    <w:rsid w:val="00F56F3D"/>
    <w:rsid w:val="00F647EC"/>
    <w:rsid w:val="00F70EEB"/>
    <w:rsid w:val="00F7484C"/>
    <w:rsid w:val="00F80662"/>
    <w:rsid w:val="00F828D9"/>
    <w:rsid w:val="00F834BF"/>
    <w:rsid w:val="00F83513"/>
    <w:rsid w:val="00F8439C"/>
    <w:rsid w:val="00F90618"/>
    <w:rsid w:val="00F97B64"/>
    <w:rsid w:val="00FA3B6D"/>
    <w:rsid w:val="00FA55CB"/>
    <w:rsid w:val="00FB3C4E"/>
    <w:rsid w:val="00FB6F21"/>
    <w:rsid w:val="00FC1ABD"/>
    <w:rsid w:val="00FD16D0"/>
    <w:rsid w:val="00FD63DD"/>
    <w:rsid w:val="00FD7180"/>
    <w:rsid w:val="00FE1530"/>
    <w:rsid w:val="00FE3848"/>
    <w:rsid w:val="00FE4305"/>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6262A"/>
    <w:rPr>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Car,ft"/>
    <w:basedOn w:val="Normal"/>
    <w:link w:val="FootnoteTextChar"/>
    <w:uiPriority w:val="99"/>
    <w:qFormat/>
    <w:rsid w:val="0066262A"/>
    <w:pPr>
      <w:spacing w:line="240" w:lineRule="auto"/>
    </w:pPr>
    <w:rPr>
      <w:rFonts w:ascii="Times New Roman" w:eastAsia="Times New Roman" w:hAnsi="Times New Roman"/>
      <w:color w:val="auto"/>
      <w:lang w:val="en-GB"/>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66262A"/>
    <w:rPr>
      <w:lang w:val="en-GB"/>
    </w:rPr>
  </w:style>
  <w:style w:type="character" w:styleId="FootnoteReference">
    <w:name w:val="footnote reference"/>
    <w:aliases w:val="16 Point,Superscript 6 Point,ftref,note bp,Footnotes refss,Footnote Reference1,Error-Fußnotenzeichen5,Error-Fußnotenzeichen6,Error-Fußnotenzeichen3,Car Char Char Char Char Char Char Char Char Car Char Car Char Car, BVI fnr,BVI fn"/>
    <w:uiPriority w:val="99"/>
    <w:rsid w:val="0066262A"/>
    <w:rPr>
      <w:vertAlign w:val="superscript"/>
    </w:rPr>
  </w:style>
  <w:style w:type="character" w:styleId="Mention">
    <w:name w:val="Mention"/>
    <w:uiPriority w:val="99"/>
    <w:unhideWhenUsed/>
    <w:rsid w:val="0066262A"/>
    <w:rPr>
      <w:color w:val="2B579A"/>
      <w:shd w:val="clear" w:color="auto" w:fill="E1DFDD"/>
    </w:rPr>
  </w:style>
  <w:style w:type="paragraph" w:styleId="CommentSubject">
    <w:name w:val="annotation subject"/>
    <w:basedOn w:val="CommentText"/>
    <w:next w:val="CommentText"/>
    <w:link w:val="CommentSubjectChar"/>
    <w:semiHidden/>
    <w:unhideWhenUsed/>
    <w:rsid w:val="0084569A"/>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84569A"/>
    <w:rPr>
      <w:rFonts w:ascii="Arial" w:eastAsia="MS PGothic" w:hAnsi="Arial"/>
      <w:b/>
      <w:bCs/>
      <w:color w:val="000000"/>
      <w:lang w:val="en-GB"/>
    </w:rPr>
  </w:style>
  <w:style w:type="paragraph" w:styleId="Caption">
    <w:name w:val="caption"/>
    <w:basedOn w:val="Normal"/>
    <w:next w:val="Normal"/>
    <w:uiPriority w:val="35"/>
    <w:unhideWhenUsed/>
    <w:qFormat/>
    <w:rsid w:val="006B5BA0"/>
    <w:pPr>
      <w:spacing w:after="200" w:line="240" w:lineRule="auto"/>
    </w:pPr>
    <w:rPr>
      <w:rFonts w:asciiTheme="minorHAnsi" w:eastAsiaTheme="minorHAnsi" w:hAnsiTheme="minorHAnsi" w:cstheme="minorBidi"/>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35180050">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960963008">
      <w:bodyDiv w:val="1"/>
      <w:marLeft w:val="0"/>
      <w:marRight w:val="0"/>
      <w:marTop w:val="0"/>
      <w:marBottom w:val="0"/>
      <w:divBdr>
        <w:top w:val="none" w:sz="0" w:space="0" w:color="auto"/>
        <w:left w:val="none" w:sz="0" w:space="0" w:color="auto"/>
        <w:bottom w:val="none" w:sz="0" w:space="0" w:color="auto"/>
        <w:right w:val="none" w:sz="0" w:space="0" w:color="auto"/>
      </w:divBdr>
    </w:div>
    <w:div w:id="1159541864">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472943201">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c3b8382466cf83b027f4cbbfa650f240">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25a0f03965e3f0e069f2f7bd75ee3d7"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F7E110A9-5E43-4546-B30B-2312326FA0D4}">
  <ds:schemaRefs>
    <ds:schemaRef ds:uri="http://schemas.microsoft.com/office/2006/documentManagement/types"/>
    <ds:schemaRef ds:uri="http://schemas.microsoft.com/sharepoint/v4"/>
    <ds:schemaRef ds:uri="465be47d-174d-4461-b4d6-18b9fc34cb32"/>
    <ds:schemaRef ds:uri="http://schemas.microsoft.com/sharepoint.v3"/>
    <ds:schemaRef ds:uri="http://purl.org/dc/elements/1.1/"/>
    <ds:schemaRef ds:uri="http://purl.org/dc/dcmitype/"/>
    <ds:schemaRef ds:uri="6b1db5bc-b37e-441e-bb0f-3f87b229404b"/>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ca283e0b-db31-4043-a2ef-b80661bf084a"/>
    <ds:schemaRef ds:uri="http://schemas.microsoft.com/sharepoint/v3"/>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7.xml><?xml version="1.0" encoding="utf-8"?>
<ds:datastoreItem xmlns:ds="http://schemas.openxmlformats.org/officeDocument/2006/customXml" ds:itemID="{F75016EF-35D8-4DC3-AFE5-CB16020F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2</Pages>
  <Words>397</Words>
  <Characters>2250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Evy</cp:lastModifiedBy>
  <cp:revision>2</cp:revision>
  <cp:lastPrinted>2022-06-17T11:45:00Z</cp:lastPrinted>
  <dcterms:created xsi:type="dcterms:W3CDTF">2022-06-28T09:58:00Z</dcterms:created>
  <dcterms:modified xsi:type="dcterms:W3CDTF">2022-06-28T09:58:00Z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