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7AF0D39" w:rsidR="00B14BE6" w:rsidRDefault="00B14BE6" w:rsidP="00B14BE6">
      <w:pPr>
        <w:jc w:val="center"/>
        <w:rPr>
          <w:rFonts w:ascii="Calibri" w:hAnsi="Calibri" w:cs="Calibri"/>
          <w:b/>
          <w:bCs/>
          <w:color w:val="00B0F0"/>
          <w:sz w:val="24"/>
          <w:szCs w:val="24"/>
          <w:u w:val="single"/>
        </w:rPr>
      </w:pPr>
      <w:r w:rsidRPr="00B63E76">
        <w:rPr>
          <w:rFonts w:ascii="Calibri" w:hAnsi="Calibri" w:cs="Calibri"/>
          <w:b/>
          <w:bCs/>
          <w:color w:val="00B0F0"/>
          <w:sz w:val="24"/>
          <w:szCs w:val="24"/>
          <w:u w:val="single"/>
        </w:rPr>
        <w:t>TERMS OF REFERENCE FOR INDIVIDUAL CONSULTANTS AND CONTRACTORS</w:t>
      </w:r>
    </w:p>
    <w:p w14:paraId="219B2125" w14:textId="57534F53" w:rsidR="00111026" w:rsidRDefault="00111026" w:rsidP="00B14BE6">
      <w:pPr>
        <w:jc w:val="center"/>
        <w:rPr>
          <w:rFonts w:ascii="Calibri" w:hAnsi="Calibri" w:cs="Calibri"/>
          <w:b/>
          <w:bCs/>
          <w:color w:val="00B0F0"/>
          <w:sz w:val="24"/>
          <w:szCs w:val="24"/>
          <w:u w:val="single"/>
        </w:rPr>
      </w:pPr>
    </w:p>
    <w:tbl>
      <w:tblPr>
        <w:tblStyle w:val="TableGrid"/>
        <w:tblW w:w="9895" w:type="dxa"/>
        <w:tblLook w:val="04A0" w:firstRow="1" w:lastRow="0" w:firstColumn="1" w:lastColumn="0" w:noHBand="0" w:noVBand="1"/>
      </w:tblPr>
      <w:tblGrid>
        <w:gridCol w:w="2808"/>
        <w:gridCol w:w="2018"/>
        <w:gridCol w:w="3025"/>
        <w:gridCol w:w="2044"/>
      </w:tblGrid>
      <w:tr w:rsidR="002639FA" w14:paraId="51C48F70" w14:textId="77777777" w:rsidTr="00A65E45">
        <w:tc>
          <w:tcPr>
            <w:tcW w:w="2875" w:type="dxa"/>
          </w:tcPr>
          <w:p w14:paraId="1C07A7A2" w14:textId="1FFEAD9C" w:rsidR="002639FA" w:rsidRPr="007613B3" w:rsidRDefault="002639FA" w:rsidP="002639FA">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r w:rsidR="00CF6B09">
              <w:rPr>
                <w:rFonts w:ascii="Calibri" w:eastAsia="Arial Unicode MS" w:hAnsi="Calibri" w:cs="Calibri"/>
                <w:b/>
                <w:color w:val="auto"/>
                <w:lang w:val="en-AU"/>
              </w:rPr>
              <w:t xml:space="preserve"> of consultancy: </w:t>
            </w:r>
          </w:p>
          <w:p w14:paraId="68811A3E" w14:textId="6E4E1F88" w:rsidR="002639FA" w:rsidRPr="00F23BCB" w:rsidRDefault="00F23BCB" w:rsidP="002639FA">
            <w:pPr>
              <w:rPr>
                <w:lang w:val="en-GB"/>
              </w:rPr>
            </w:pPr>
            <w:r w:rsidRPr="00082525">
              <w:rPr>
                <w:color w:val="000000" w:themeColor="text1"/>
                <w:lang w:val="en-GB"/>
              </w:rPr>
              <w:t>Individual</w:t>
            </w:r>
            <w:r w:rsidR="00180411">
              <w:rPr>
                <w:color w:val="000000" w:themeColor="text1"/>
                <w:lang w:val="en-GB"/>
              </w:rPr>
              <w:t xml:space="preserve"> </w:t>
            </w:r>
            <w:r w:rsidRPr="00082525">
              <w:rPr>
                <w:color w:val="000000" w:themeColor="text1"/>
                <w:lang w:val="en-GB"/>
              </w:rPr>
              <w:t>Consultan</w:t>
            </w:r>
            <w:r w:rsidR="005E54EB" w:rsidRPr="00082525">
              <w:rPr>
                <w:color w:val="000000" w:themeColor="text1"/>
                <w:lang w:val="en-GB"/>
              </w:rPr>
              <w:t>t</w:t>
            </w:r>
            <w:r w:rsidRPr="00082525">
              <w:rPr>
                <w:color w:val="000000" w:themeColor="text1"/>
                <w:lang w:val="en-GB"/>
              </w:rPr>
              <w:t xml:space="preserve"> </w:t>
            </w:r>
            <w:r w:rsidR="00986C8B">
              <w:rPr>
                <w:color w:val="000000" w:themeColor="text1"/>
                <w:lang w:val="en-GB"/>
              </w:rPr>
              <w:t xml:space="preserve">for provision of </w:t>
            </w:r>
            <w:r w:rsidR="00B81D33">
              <w:rPr>
                <w:color w:val="000000" w:themeColor="text1"/>
                <w:lang w:val="en-GB"/>
              </w:rPr>
              <w:t xml:space="preserve">digital </w:t>
            </w:r>
            <w:r w:rsidR="00986C8B">
              <w:rPr>
                <w:color w:val="000000" w:themeColor="text1"/>
                <w:lang w:val="en-GB"/>
              </w:rPr>
              <w:t>TV studio systems integration services</w:t>
            </w:r>
            <w:r w:rsidR="004A38E0" w:rsidRPr="00591342">
              <w:rPr>
                <w:color w:val="000000" w:themeColor="text1"/>
                <w:lang w:val="en-GB"/>
              </w:rPr>
              <w:t xml:space="preserve"> </w:t>
            </w:r>
          </w:p>
        </w:tc>
        <w:tc>
          <w:tcPr>
            <w:tcW w:w="1849" w:type="dxa"/>
          </w:tcPr>
          <w:p w14:paraId="70A3E8B0" w14:textId="77777777" w:rsidR="002639FA" w:rsidRDefault="002639FA" w:rsidP="002639FA">
            <w:pPr>
              <w:rPr>
                <w:rFonts w:ascii="Calibri" w:eastAsia="Arial Unicode MS" w:hAnsi="Calibri" w:cs="Calibri"/>
                <w:b/>
                <w:color w:val="auto"/>
                <w:lang w:val="en-AU"/>
              </w:rPr>
            </w:pPr>
            <w:r w:rsidRPr="00C41ED0">
              <w:rPr>
                <w:rFonts w:ascii="Calibri" w:eastAsia="Arial Unicode MS" w:hAnsi="Calibri" w:cs="Calibri"/>
                <w:b/>
                <w:color w:val="auto"/>
                <w:lang w:val="en-AU"/>
              </w:rPr>
              <w:t>Funding Code</w:t>
            </w:r>
          </w:p>
          <w:p w14:paraId="0010694A" w14:textId="77777777" w:rsidR="00277BE7" w:rsidRDefault="00277BE7" w:rsidP="003E458A">
            <w:pPr>
              <w:rPr>
                <w:rFonts w:eastAsia="Times New Roman"/>
              </w:rPr>
            </w:pPr>
            <w:r>
              <w:rPr>
                <w:rFonts w:eastAsia="Times New Roman"/>
              </w:rPr>
              <w:t>4360/A0/06/880/004 - Communications, Advocacy and Partnership</w:t>
            </w:r>
          </w:p>
          <w:p w14:paraId="7927406E" w14:textId="77777777" w:rsidR="00277BE7" w:rsidRDefault="00277BE7" w:rsidP="003E458A"/>
          <w:p w14:paraId="3BD8AC8B" w14:textId="2FF152B6" w:rsidR="00277BE7" w:rsidRDefault="00277BE7" w:rsidP="003E458A">
            <w:r>
              <w:t>SM210852</w:t>
            </w:r>
          </w:p>
        </w:tc>
        <w:tc>
          <w:tcPr>
            <w:tcW w:w="3101" w:type="dxa"/>
          </w:tcPr>
          <w:p w14:paraId="26013276" w14:textId="28749C8D" w:rsidR="002639FA" w:rsidRPr="00E135F0" w:rsidRDefault="002639FA" w:rsidP="00E135F0">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w:t>
            </w:r>
            <w:r w:rsidR="00E135F0">
              <w:rPr>
                <w:rFonts w:ascii="Calibri" w:eastAsia="Arial Unicode MS" w:hAnsi="Calibri" w:cs="Calibri"/>
                <w:b/>
                <w:color w:val="auto"/>
                <w:lang w:val="en-AU"/>
              </w:rPr>
              <w:t>t</w:t>
            </w:r>
            <w:r w:rsidRPr="007613B3">
              <w:rPr>
                <w:rFonts w:ascii="Calibri" w:eastAsia="Arial Unicode MS" w:hAnsi="Calibri" w:cs="Calibri"/>
                <w:color w:val="auto"/>
                <w:lang w:val="en-AU"/>
              </w:rPr>
              <w:t xml:space="preserve"> </w:t>
            </w:r>
          </w:p>
          <w:p w14:paraId="29E12592" w14:textId="400A43E0" w:rsidR="002F3B72" w:rsidRDefault="00F23BCB" w:rsidP="002F3B72">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DF2393">
              <w:rPr>
                <w:rFonts w:ascii="Calibri" w:eastAsia="Arial Unicode MS" w:hAnsi="Calibri" w:cs="Calibri"/>
                <w:color w:val="auto"/>
                <w:lang w:val="en-AU"/>
              </w:rPr>
            </w:r>
            <w:r w:rsidR="00DF239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2F3B72" w:rsidRPr="007613B3">
              <w:rPr>
                <w:rFonts w:ascii="Calibri" w:eastAsia="Arial Unicode MS" w:hAnsi="Calibri" w:cs="Calibri"/>
                <w:color w:val="auto"/>
                <w:lang w:val="en-AU"/>
              </w:rPr>
              <w:t xml:space="preserve"> Consultant </w:t>
            </w:r>
          </w:p>
          <w:p w14:paraId="16F99902" w14:textId="77777777" w:rsidR="002639FA" w:rsidRDefault="002639FA" w:rsidP="002639FA">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F2393">
              <w:rPr>
                <w:rFonts w:ascii="Calibri" w:eastAsia="Arial Unicode MS" w:hAnsi="Calibri" w:cs="Calibri"/>
                <w:color w:val="auto"/>
                <w:lang w:val="en-AU"/>
              </w:rPr>
            </w:r>
            <w:r w:rsidR="00DF239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Part-Time</w:t>
            </w:r>
          </w:p>
          <w:p w14:paraId="0260192E" w14:textId="006FA7CA" w:rsidR="002639FA" w:rsidRDefault="002639FA" w:rsidP="002639FA">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F2393">
              <w:rPr>
                <w:rFonts w:ascii="Calibri" w:eastAsia="Arial Unicode MS" w:hAnsi="Calibri" w:cs="Calibri"/>
                <w:color w:val="auto"/>
                <w:lang w:val="en-AU"/>
              </w:rPr>
            </w:r>
            <w:r w:rsidR="00DF239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Full-Time</w:t>
            </w:r>
          </w:p>
        </w:tc>
        <w:tc>
          <w:tcPr>
            <w:tcW w:w="2070" w:type="dxa"/>
          </w:tcPr>
          <w:p w14:paraId="56849D7D" w14:textId="77777777" w:rsidR="002639FA" w:rsidRPr="007613B3" w:rsidRDefault="002639FA" w:rsidP="002639FA">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BB2B488" w14:textId="7ABD532D" w:rsidR="002639FA" w:rsidRDefault="00C83B20" w:rsidP="002639FA">
            <w:r>
              <w:t xml:space="preserve">Home based </w:t>
            </w:r>
            <w:r w:rsidR="00884AE5">
              <w:t xml:space="preserve">in </w:t>
            </w:r>
            <w:r w:rsidR="003D012F">
              <w:t>Ashgabat,</w:t>
            </w:r>
            <w:r w:rsidR="00F23BCB">
              <w:t xml:space="preserve"> Turkmenistan</w:t>
            </w:r>
          </w:p>
        </w:tc>
      </w:tr>
    </w:tbl>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138"/>
        <w:gridCol w:w="1980"/>
        <w:gridCol w:w="272"/>
        <w:gridCol w:w="1798"/>
        <w:gridCol w:w="1699"/>
      </w:tblGrid>
      <w:tr w:rsidR="00C47D08" w:rsidRPr="007613B3" w14:paraId="0AD85765" w14:textId="77777777" w:rsidTr="007027B9">
        <w:tc>
          <w:tcPr>
            <w:tcW w:w="6390" w:type="dxa"/>
            <w:gridSpan w:val="3"/>
            <w:tcBorders>
              <w:bottom w:val="nil"/>
            </w:tcBorders>
            <w:shd w:val="clear" w:color="auto" w:fill="auto"/>
          </w:tcPr>
          <w:p w14:paraId="041AC5C0" w14:textId="77777777" w:rsidR="00C47D08" w:rsidRDefault="00C47D08" w:rsidP="007027B9">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12211ADD" w14:textId="317E7246" w:rsidR="00C47D08" w:rsidRPr="007613B3" w:rsidRDefault="00180411" w:rsidP="007027B9">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9"/>
                  <w:enabled/>
                  <w:calcOnExit w:val="0"/>
                  <w:checkBox>
                    <w:sizeAuto/>
                    <w:default w:val="1"/>
                  </w:checkBox>
                </w:ffData>
              </w:fldChar>
            </w:r>
            <w:bookmarkStart w:id="0" w:name="Check9"/>
            <w:r>
              <w:rPr>
                <w:rFonts w:ascii="Calibri" w:eastAsia="Arial Unicode MS" w:hAnsi="Calibri" w:cs="Calibri"/>
                <w:color w:val="auto"/>
                <w:lang w:val="en-AU"/>
              </w:rPr>
              <w:instrText xml:space="preserve"> FORMCHECKBOX </w:instrText>
            </w:r>
            <w:r w:rsidR="00DF2393">
              <w:rPr>
                <w:rFonts w:ascii="Calibri" w:eastAsia="Arial Unicode MS" w:hAnsi="Calibri" w:cs="Calibri"/>
                <w:color w:val="auto"/>
                <w:lang w:val="en-AU"/>
              </w:rPr>
            </w:r>
            <w:r w:rsidR="00DF239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C47D08" w:rsidRPr="007613B3">
              <w:rPr>
                <w:rFonts w:ascii="Calibri" w:eastAsia="Arial Unicode MS" w:hAnsi="Calibri" w:cs="Calibri"/>
                <w:color w:val="auto"/>
                <w:lang w:val="en-AU"/>
              </w:rPr>
              <w:t xml:space="preserve"> National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DF2393">
              <w:rPr>
                <w:rFonts w:ascii="Calibri" w:eastAsia="Arial Unicode MS" w:hAnsi="Calibri" w:cs="Calibri"/>
                <w:color w:val="auto"/>
                <w:lang w:val="en-AU"/>
              </w:rPr>
            </w:r>
            <w:r w:rsidR="00DF239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47D08" w:rsidRPr="007613B3">
              <w:rPr>
                <w:rFonts w:ascii="Calibri" w:eastAsia="Arial Unicode MS" w:hAnsi="Calibri" w:cs="Calibri"/>
                <w:color w:val="auto"/>
                <w:lang w:val="en-AU"/>
              </w:rPr>
              <w:t xml:space="preserve"> International </w:t>
            </w:r>
            <w:r w:rsidR="00C47D08"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47D08" w:rsidRPr="007613B3">
              <w:rPr>
                <w:rFonts w:ascii="Calibri" w:eastAsia="Arial Unicode MS" w:hAnsi="Calibri" w:cs="Calibri"/>
                <w:color w:val="auto"/>
                <w:lang w:val="en-AU"/>
              </w:rPr>
              <w:instrText xml:space="preserve"> FORMCHECKBOX </w:instrText>
            </w:r>
            <w:r w:rsidR="00DF2393">
              <w:rPr>
                <w:rFonts w:ascii="Calibri" w:eastAsia="Arial Unicode MS" w:hAnsi="Calibri" w:cs="Calibri"/>
                <w:color w:val="auto"/>
                <w:lang w:val="en-AU"/>
              </w:rPr>
            </w:r>
            <w:r w:rsidR="00DF2393">
              <w:rPr>
                <w:rFonts w:ascii="Calibri" w:eastAsia="Arial Unicode MS" w:hAnsi="Calibri" w:cs="Calibri"/>
                <w:color w:val="auto"/>
                <w:lang w:val="en-AU"/>
              </w:rPr>
              <w:fldChar w:fldCharType="separate"/>
            </w:r>
            <w:r w:rsidR="00C47D08" w:rsidRPr="007613B3">
              <w:rPr>
                <w:rFonts w:ascii="Calibri" w:eastAsia="Arial Unicode MS" w:hAnsi="Calibri" w:cs="Calibri"/>
                <w:color w:val="auto"/>
                <w:lang w:val="en-AU"/>
              </w:rPr>
              <w:fldChar w:fldCharType="end"/>
            </w:r>
            <w:r w:rsidR="00C47D08" w:rsidRPr="007613B3">
              <w:rPr>
                <w:rFonts w:ascii="Calibri" w:eastAsia="Arial Unicode MS" w:hAnsi="Calibri" w:cs="Calibri"/>
                <w:color w:val="auto"/>
                <w:lang w:val="en-AU"/>
              </w:rPr>
              <w:t xml:space="preserve"> Both</w:t>
            </w:r>
          </w:p>
          <w:p w14:paraId="1B104809" w14:textId="77777777" w:rsidR="00C47D08" w:rsidRPr="007613B3" w:rsidRDefault="00C47D08" w:rsidP="007027B9">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5AA83A24" w14:textId="0028D059" w:rsidR="00C47D08" w:rsidRPr="007613B3" w:rsidRDefault="00180411" w:rsidP="007027B9">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0"/>
                  </w:checkBox>
                </w:ffData>
              </w:fldChar>
            </w:r>
            <w:bookmarkStart w:id="1" w:name="Check10"/>
            <w:r>
              <w:rPr>
                <w:rFonts w:ascii="Calibri" w:eastAsia="Arial Unicode MS" w:hAnsi="Calibri" w:cs="Calibri"/>
                <w:color w:val="auto"/>
                <w:lang w:val="en-AU"/>
              </w:rPr>
              <w:instrText xml:space="preserve"> FORMCHECKBOX </w:instrText>
            </w:r>
            <w:r w:rsidR="00DF2393">
              <w:rPr>
                <w:rFonts w:ascii="Calibri" w:eastAsia="Arial Unicode MS" w:hAnsi="Calibri" w:cs="Calibri"/>
                <w:color w:val="auto"/>
                <w:lang w:val="en-AU"/>
              </w:rPr>
            </w:r>
            <w:r w:rsidR="00DF239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1"/>
            <w:r w:rsidR="00C47D08" w:rsidRPr="007613B3">
              <w:rPr>
                <w:rFonts w:ascii="Calibri" w:eastAsia="Arial Unicode MS" w:hAnsi="Calibri" w:cs="Calibri"/>
                <w:color w:val="auto"/>
                <w:lang w:val="en-AU"/>
              </w:rPr>
              <w:t xml:space="preserve"> Competitive Selection (Roster)</w:t>
            </w:r>
          </w:p>
          <w:p w14:paraId="02CB4BC0" w14:textId="1CDE7C44" w:rsidR="00C47D08" w:rsidRPr="007613B3" w:rsidRDefault="00180411" w:rsidP="007027B9">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DF2393">
              <w:rPr>
                <w:rFonts w:ascii="Calibri" w:eastAsia="Arial Unicode MS" w:hAnsi="Calibri" w:cs="Calibri"/>
                <w:color w:val="auto"/>
                <w:lang w:val="en-AU"/>
              </w:rPr>
            </w:r>
            <w:r w:rsidR="00DF239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47D08" w:rsidRPr="007613B3">
              <w:rPr>
                <w:rFonts w:ascii="Calibri" w:eastAsia="Arial Unicode MS" w:hAnsi="Calibri" w:cs="Calibri"/>
                <w:color w:val="auto"/>
                <w:lang w:val="en-AU"/>
              </w:rPr>
              <w:t xml:space="preserve"> Competitive Selection (</w:t>
            </w:r>
            <w:r w:rsidR="00C47D08" w:rsidRPr="003D012F">
              <w:rPr>
                <w:rFonts w:ascii="Calibri" w:eastAsia="Arial Unicode MS" w:hAnsi="Calibri" w:cs="Calibri"/>
                <w:b/>
                <w:bCs/>
                <w:color w:val="auto"/>
                <w:u w:val="single"/>
                <w:lang w:val="en-AU"/>
              </w:rPr>
              <w:t>Advertisement/Desk Review</w:t>
            </w:r>
            <w:r w:rsidR="00C47D08" w:rsidRPr="000F7ED0">
              <w:rPr>
                <w:rFonts w:ascii="Calibri" w:eastAsia="Arial Unicode MS" w:hAnsi="Calibri" w:cs="Calibri"/>
                <w:b/>
                <w:bCs/>
                <w:color w:val="auto"/>
                <w:lang w:val="en-AU"/>
              </w:rPr>
              <w:t>/Interview</w:t>
            </w:r>
            <w:r w:rsidR="00C47D08" w:rsidRPr="007613B3">
              <w:rPr>
                <w:rFonts w:ascii="Calibri" w:eastAsia="Arial Unicode MS" w:hAnsi="Calibri" w:cs="Calibri"/>
                <w:color w:val="auto"/>
                <w:lang w:val="en-AU"/>
              </w:rPr>
              <w:t>)</w:t>
            </w:r>
          </w:p>
        </w:tc>
        <w:tc>
          <w:tcPr>
            <w:tcW w:w="3497" w:type="dxa"/>
            <w:gridSpan w:val="2"/>
            <w:tcBorders>
              <w:bottom w:val="nil"/>
            </w:tcBorders>
            <w:shd w:val="clear" w:color="auto" w:fill="auto"/>
          </w:tcPr>
          <w:p w14:paraId="4C25C1F7" w14:textId="77777777" w:rsidR="00C47D08" w:rsidRPr="007613B3" w:rsidRDefault="00C47D08" w:rsidP="007027B9">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5F8F09EE" w14:textId="34CDF8D5" w:rsidR="00C47D08" w:rsidRPr="007613B3" w:rsidRDefault="00F23BCB" w:rsidP="007027B9">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DF2393">
              <w:rPr>
                <w:rFonts w:ascii="Calibri" w:eastAsia="Arial Unicode MS" w:hAnsi="Calibri" w:cs="Calibri"/>
                <w:color w:val="auto"/>
                <w:lang w:val="en-AU"/>
              </w:rPr>
            </w:r>
            <w:r w:rsidR="00DF2393">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47D08" w:rsidRPr="007613B3">
              <w:rPr>
                <w:rFonts w:ascii="Calibri" w:eastAsia="Arial Unicode MS" w:hAnsi="Calibri" w:cs="Calibri"/>
                <w:color w:val="auto"/>
                <w:lang w:val="en-AU"/>
              </w:rPr>
              <w:t xml:space="preserve">   New SSA</w:t>
            </w:r>
            <w:r w:rsidR="00C47D08">
              <w:rPr>
                <w:rFonts w:ascii="Calibri" w:eastAsia="Arial Unicode MS" w:hAnsi="Calibri" w:cs="Calibri"/>
                <w:color w:val="auto"/>
                <w:lang w:val="en-AU"/>
              </w:rPr>
              <w:t xml:space="preserve"> – Individual Contract</w:t>
            </w:r>
          </w:p>
          <w:p w14:paraId="0D7CE135" w14:textId="77777777" w:rsidR="00C47D08" w:rsidRPr="007613B3" w:rsidRDefault="00C47D08" w:rsidP="007027B9">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F2393">
              <w:rPr>
                <w:rFonts w:ascii="Calibri" w:eastAsia="Arial Unicode MS" w:hAnsi="Calibri" w:cs="Calibri"/>
                <w:color w:val="auto"/>
                <w:lang w:val="en-AU"/>
              </w:rPr>
            </w:r>
            <w:r w:rsidR="00DF2393">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C47D08" w:rsidRPr="007613B3" w14:paraId="147A3C73" w14:textId="77777777" w:rsidTr="007027B9">
        <w:tc>
          <w:tcPr>
            <w:tcW w:w="9887" w:type="dxa"/>
            <w:gridSpan w:val="5"/>
            <w:tcBorders>
              <w:bottom w:val="nil"/>
            </w:tcBorders>
            <w:shd w:val="clear" w:color="auto" w:fill="auto"/>
          </w:tcPr>
          <w:p w14:paraId="289D6674" w14:textId="22A18979" w:rsidR="00C47D08" w:rsidRDefault="00C47D08" w:rsidP="007027B9">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r w:rsidR="00BB6DD6">
              <w:rPr>
                <w:rFonts w:ascii="Calibri" w:eastAsia="Arial Unicode MS" w:hAnsi="Calibri" w:cs="Calibri"/>
                <w:b/>
                <w:color w:val="auto"/>
              </w:rPr>
              <w:t xml:space="preserve"> N/A</w:t>
            </w:r>
          </w:p>
          <w:p w14:paraId="22BF0046" w14:textId="77777777" w:rsidR="00C47D08" w:rsidRPr="007613B3" w:rsidRDefault="00C47D08" w:rsidP="007027B9">
            <w:pPr>
              <w:spacing w:before="120" w:after="60" w:line="240" w:lineRule="auto"/>
              <w:rPr>
                <w:rFonts w:ascii="Calibri" w:eastAsia="Arial Unicode MS" w:hAnsi="Calibri" w:cs="Calibri"/>
                <w:b/>
                <w:color w:val="auto"/>
                <w:lang w:val="en-AU"/>
              </w:rPr>
            </w:pPr>
          </w:p>
        </w:tc>
      </w:tr>
      <w:tr w:rsidR="00C47D08" w:rsidRPr="007613B3" w14:paraId="419F9B1F" w14:textId="77777777" w:rsidTr="00B67FAB">
        <w:trPr>
          <w:trHeight w:val="413"/>
        </w:trPr>
        <w:tc>
          <w:tcPr>
            <w:tcW w:w="4138" w:type="dxa"/>
            <w:tcBorders>
              <w:bottom w:val="nil"/>
            </w:tcBorders>
            <w:shd w:val="clear" w:color="auto" w:fill="auto"/>
            <w:noWrap/>
            <w:hideMark/>
          </w:tcPr>
          <w:p w14:paraId="306DB20A" w14:textId="77777777" w:rsidR="00C47D08" w:rsidRPr="007613B3" w:rsidRDefault="00C47D08" w:rsidP="007027B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tc>
        <w:tc>
          <w:tcPr>
            <w:tcW w:w="1980" w:type="dxa"/>
            <w:tcBorders>
              <w:bottom w:val="nil"/>
            </w:tcBorders>
            <w:shd w:val="clear" w:color="auto" w:fill="auto"/>
            <w:noWrap/>
            <w:hideMark/>
          </w:tcPr>
          <w:p w14:paraId="7B53EE30" w14:textId="77777777" w:rsidR="00C47D08" w:rsidRPr="007613B3" w:rsidRDefault="00C47D08" w:rsidP="007027B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2070" w:type="dxa"/>
            <w:gridSpan w:val="2"/>
            <w:tcBorders>
              <w:bottom w:val="nil"/>
            </w:tcBorders>
            <w:shd w:val="clear" w:color="auto" w:fill="auto"/>
          </w:tcPr>
          <w:p w14:paraId="5DE5AF5B" w14:textId="77777777" w:rsidR="00C47D08" w:rsidRPr="007613B3" w:rsidRDefault="00C47D08" w:rsidP="007027B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c>
          <w:tcPr>
            <w:tcW w:w="1699" w:type="dxa"/>
            <w:tcBorders>
              <w:bottom w:val="nil"/>
            </w:tcBorders>
            <w:shd w:val="clear" w:color="auto" w:fill="auto"/>
          </w:tcPr>
          <w:p w14:paraId="4F852314" w14:textId="77777777" w:rsidR="00C47D08" w:rsidRPr="007613B3" w:rsidRDefault="00C47D08" w:rsidP="007027B9">
            <w:pPr>
              <w:spacing w:before="100" w:beforeAutospacing="1" w:after="100" w:afterAutospacing="1" w:line="240" w:lineRule="auto"/>
              <w:rPr>
                <w:rFonts w:ascii="Calibri" w:eastAsia="Arial Unicode MS" w:hAnsi="Calibri" w:cs="Calibri"/>
                <w:b/>
                <w:color w:val="auto"/>
                <w:lang w:val="en-AU"/>
              </w:rPr>
            </w:pPr>
            <w:r w:rsidRPr="00B67FAB">
              <w:rPr>
                <w:rFonts w:ascii="Calibri" w:eastAsia="Arial Unicode MS" w:hAnsi="Calibri" w:cs="Calibri"/>
                <w:b/>
                <w:color w:val="auto"/>
                <w:lang w:val="en-AU"/>
              </w:rPr>
              <w:t>Number of Days (working)</w:t>
            </w:r>
          </w:p>
        </w:tc>
      </w:tr>
      <w:tr w:rsidR="00C47D08" w:rsidRPr="007613B3" w14:paraId="2BFA9D40" w14:textId="77777777" w:rsidTr="007027B9">
        <w:tc>
          <w:tcPr>
            <w:tcW w:w="4138" w:type="dxa"/>
            <w:tcBorders>
              <w:top w:val="nil"/>
            </w:tcBorders>
            <w:shd w:val="clear" w:color="auto" w:fill="auto"/>
            <w:noWrap/>
          </w:tcPr>
          <w:p w14:paraId="774023C7" w14:textId="768CF6DA" w:rsidR="00C47D08" w:rsidRDefault="00F23BCB" w:rsidP="007027B9">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Selbi Hanova,</w:t>
            </w:r>
            <w:r w:rsidR="00C12AE3">
              <w:t xml:space="preserve"> </w:t>
            </w:r>
            <w:r w:rsidR="00C12AE3" w:rsidRPr="00C12AE3">
              <w:rPr>
                <w:rFonts w:ascii="Calibri" w:eastAsia="Arial Unicode MS" w:hAnsi="Calibri" w:cs="Calibri"/>
                <w:i/>
                <w:color w:val="auto"/>
                <w:lang w:val="en-AU"/>
              </w:rPr>
              <w:t>Social and Behaviour Change Officer</w:t>
            </w:r>
          </w:p>
          <w:p w14:paraId="230EBA79" w14:textId="57BB73E4" w:rsidR="00F23BCB" w:rsidRPr="007613B3" w:rsidRDefault="00F23BCB" w:rsidP="007027B9">
            <w:pPr>
              <w:spacing w:before="60" w:after="60" w:line="240" w:lineRule="auto"/>
              <w:rPr>
                <w:rFonts w:ascii="Calibri" w:eastAsia="Arial Unicode MS" w:hAnsi="Calibri" w:cs="Calibri"/>
                <w:i/>
                <w:color w:val="auto"/>
                <w:lang w:val="en-AU"/>
              </w:rPr>
            </w:pPr>
          </w:p>
        </w:tc>
        <w:tc>
          <w:tcPr>
            <w:tcW w:w="1980" w:type="dxa"/>
            <w:tcBorders>
              <w:top w:val="nil"/>
            </w:tcBorders>
            <w:shd w:val="clear" w:color="auto" w:fill="auto"/>
            <w:noWrap/>
          </w:tcPr>
          <w:p w14:paraId="07146F01" w14:textId="5A0A4061" w:rsidR="00C47D08" w:rsidRPr="00493007" w:rsidRDefault="00986C8B" w:rsidP="007027B9">
            <w:pPr>
              <w:spacing w:before="60" w:after="60" w:line="240" w:lineRule="auto"/>
              <w:rPr>
                <w:rFonts w:ascii="Calibri" w:eastAsia="Arial Unicode MS" w:hAnsi="Calibri" w:cs="Calibri"/>
                <w:i/>
                <w:color w:val="auto"/>
                <w:lang w:val="en-AU"/>
              </w:rPr>
            </w:pPr>
            <w:r w:rsidRPr="00493007">
              <w:rPr>
                <w:rFonts w:ascii="Calibri" w:eastAsia="Arial Unicode MS" w:hAnsi="Calibri" w:cs="Calibri"/>
                <w:i/>
                <w:color w:val="auto"/>
                <w:lang w:val="en-AU"/>
              </w:rPr>
              <w:t xml:space="preserve"> </w:t>
            </w:r>
            <w:r w:rsidR="004C1792" w:rsidRPr="00493007">
              <w:rPr>
                <w:rFonts w:ascii="Calibri" w:eastAsia="Arial Unicode MS" w:hAnsi="Calibri" w:cs="Calibri"/>
                <w:i/>
                <w:color w:val="auto"/>
                <w:lang w:val="en-AU"/>
              </w:rPr>
              <w:t xml:space="preserve">01 </w:t>
            </w:r>
            <w:r w:rsidRPr="00493007">
              <w:rPr>
                <w:rFonts w:ascii="Calibri" w:eastAsia="Arial Unicode MS" w:hAnsi="Calibri" w:cs="Calibri"/>
                <w:i/>
                <w:color w:val="auto"/>
                <w:lang w:val="en-AU"/>
              </w:rPr>
              <w:t xml:space="preserve">December </w:t>
            </w:r>
            <w:r w:rsidR="006A2945" w:rsidRPr="00493007">
              <w:rPr>
                <w:rFonts w:ascii="Calibri" w:eastAsia="Arial Unicode MS" w:hAnsi="Calibri" w:cs="Calibri"/>
                <w:i/>
                <w:color w:val="auto"/>
                <w:lang w:val="en-AU"/>
              </w:rPr>
              <w:t>2022</w:t>
            </w:r>
          </w:p>
        </w:tc>
        <w:tc>
          <w:tcPr>
            <w:tcW w:w="2070" w:type="dxa"/>
            <w:gridSpan w:val="2"/>
            <w:tcBorders>
              <w:top w:val="nil"/>
            </w:tcBorders>
            <w:shd w:val="clear" w:color="auto" w:fill="auto"/>
          </w:tcPr>
          <w:p w14:paraId="35F331EF" w14:textId="08870F5F" w:rsidR="00C47D08" w:rsidRPr="00493007" w:rsidRDefault="00624DDD" w:rsidP="007027B9">
            <w:pPr>
              <w:spacing w:before="60" w:after="60" w:line="240" w:lineRule="auto"/>
              <w:rPr>
                <w:rFonts w:ascii="Calibri" w:eastAsia="Arial Unicode MS" w:hAnsi="Calibri" w:cs="Calibri"/>
                <w:i/>
                <w:color w:val="auto"/>
                <w:lang w:val="en-AU"/>
              </w:rPr>
            </w:pPr>
            <w:r w:rsidRPr="00493007">
              <w:rPr>
                <w:rFonts w:ascii="Calibri" w:eastAsia="Arial Unicode MS" w:hAnsi="Calibri" w:cs="Calibri"/>
                <w:i/>
                <w:color w:val="auto"/>
                <w:lang w:val="en-AU"/>
              </w:rPr>
              <w:t>10</w:t>
            </w:r>
            <w:r w:rsidR="00986C8B" w:rsidRPr="00493007">
              <w:rPr>
                <w:rFonts w:ascii="Calibri" w:eastAsia="Arial Unicode MS" w:hAnsi="Calibri" w:cs="Calibri"/>
                <w:i/>
                <w:color w:val="auto"/>
                <w:lang w:val="en-AU"/>
              </w:rPr>
              <w:t xml:space="preserve"> February</w:t>
            </w:r>
            <w:r w:rsidR="00960405" w:rsidRPr="00493007">
              <w:rPr>
                <w:rFonts w:ascii="Calibri" w:eastAsia="Arial Unicode MS" w:hAnsi="Calibri" w:cs="Calibri"/>
                <w:i/>
                <w:color w:val="auto"/>
                <w:lang w:val="en-AU"/>
              </w:rPr>
              <w:t xml:space="preserve"> </w:t>
            </w:r>
            <w:r w:rsidR="003E458A" w:rsidRPr="00493007">
              <w:rPr>
                <w:rFonts w:ascii="Calibri" w:eastAsia="Arial Unicode MS" w:hAnsi="Calibri" w:cs="Calibri"/>
                <w:i/>
                <w:color w:val="auto"/>
                <w:lang w:val="en-AU"/>
              </w:rPr>
              <w:t>202</w:t>
            </w:r>
            <w:r w:rsidR="002E7F09" w:rsidRPr="00493007">
              <w:rPr>
                <w:rFonts w:ascii="Calibri" w:eastAsia="Arial Unicode MS" w:hAnsi="Calibri" w:cs="Calibri"/>
                <w:i/>
                <w:color w:val="auto"/>
                <w:lang w:val="en-AU"/>
              </w:rPr>
              <w:t>3</w:t>
            </w:r>
          </w:p>
        </w:tc>
        <w:tc>
          <w:tcPr>
            <w:tcW w:w="1699" w:type="dxa"/>
            <w:tcBorders>
              <w:top w:val="nil"/>
            </w:tcBorders>
            <w:shd w:val="clear" w:color="auto" w:fill="auto"/>
          </w:tcPr>
          <w:p w14:paraId="4DCF7CFC" w14:textId="4A14FBD0" w:rsidR="00C47D08" w:rsidRPr="00493007" w:rsidRDefault="00624DDD" w:rsidP="007027B9">
            <w:pPr>
              <w:spacing w:before="60" w:after="60" w:line="240" w:lineRule="auto"/>
              <w:rPr>
                <w:rFonts w:ascii="Calibri" w:eastAsia="Arial Unicode MS" w:hAnsi="Calibri" w:cs="Calibri"/>
                <w:i/>
                <w:color w:val="auto"/>
                <w:lang w:val="en-AU"/>
              </w:rPr>
            </w:pPr>
            <w:r w:rsidRPr="00493007">
              <w:rPr>
                <w:rFonts w:ascii="Calibri" w:eastAsia="Arial Unicode MS" w:hAnsi="Calibri" w:cs="Calibri"/>
                <w:i/>
                <w:color w:val="auto"/>
                <w:lang w:val="en-AU"/>
              </w:rPr>
              <w:t>45</w:t>
            </w:r>
            <w:r w:rsidR="000B1810" w:rsidRPr="00493007">
              <w:rPr>
                <w:rFonts w:ascii="Calibri" w:eastAsia="Arial Unicode MS" w:hAnsi="Calibri" w:cs="Calibri"/>
                <w:i/>
                <w:color w:val="auto"/>
                <w:lang w:val="en-AU"/>
              </w:rPr>
              <w:t xml:space="preserve"> days</w:t>
            </w:r>
          </w:p>
        </w:tc>
      </w:tr>
    </w:tbl>
    <w:tbl>
      <w:tblPr>
        <w:tblStyle w:val="TableGrid"/>
        <w:tblW w:w="9895" w:type="dxa"/>
        <w:tblLook w:val="04A0" w:firstRow="1" w:lastRow="0" w:firstColumn="1" w:lastColumn="0" w:noHBand="0" w:noVBand="1"/>
      </w:tblPr>
      <w:tblGrid>
        <w:gridCol w:w="9895"/>
      </w:tblGrid>
      <w:tr w:rsidR="00AF38A0" w14:paraId="06FC554D" w14:textId="77777777" w:rsidTr="007027B9">
        <w:tc>
          <w:tcPr>
            <w:tcW w:w="9895" w:type="dxa"/>
            <w:tcBorders>
              <w:bottom w:val="single" w:sz="4" w:space="0" w:color="auto"/>
            </w:tcBorders>
          </w:tcPr>
          <w:p w14:paraId="43C30802" w14:textId="482D5691" w:rsidR="00AF38A0" w:rsidRDefault="00AF38A0" w:rsidP="007027B9">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p>
          <w:p w14:paraId="235EBB0F" w14:textId="22BEC1C1" w:rsidR="00F6784B" w:rsidRDefault="00F6784B" w:rsidP="007022CD">
            <w:pPr>
              <w:ind w:left="360"/>
              <w:jc w:val="both"/>
              <w:rPr>
                <w:rFonts w:cs="Arial"/>
                <w:szCs w:val="26"/>
              </w:rPr>
            </w:pPr>
            <w:r>
              <w:rPr>
                <w:rFonts w:cs="Cambria"/>
                <w:bCs/>
                <w:szCs w:val="32"/>
              </w:rPr>
              <w:t>As the global COVID-19 pandemic is ongoing, UNICEF will continue working with the Government to scale up the preventive activities and strengthen national efforts for risk communication and community engagement in response to COVID-19 impacts in Turkmenistan and to increase national capacity for potential future crises and rapid RCCE response.</w:t>
            </w:r>
          </w:p>
          <w:p w14:paraId="628CAC2C" w14:textId="77777777" w:rsidR="00F6784B" w:rsidRDefault="00F6784B" w:rsidP="007022CD">
            <w:pPr>
              <w:ind w:left="360"/>
              <w:jc w:val="both"/>
              <w:rPr>
                <w:rFonts w:cs="Arial"/>
                <w:szCs w:val="26"/>
              </w:rPr>
            </w:pPr>
          </w:p>
          <w:p w14:paraId="4FC60B1A" w14:textId="77777777" w:rsidR="00BC7BF5" w:rsidRDefault="00960405" w:rsidP="00BC7BF5">
            <w:pPr>
              <w:ind w:left="360"/>
              <w:jc w:val="both"/>
              <w:rPr>
                <w:rFonts w:cs="Arial"/>
                <w:szCs w:val="26"/>
              </w:rPr>
            </w:pPr>
            <w:r>
              <w:rPr>
                <w:rFonts w:cs="Arial"/>
                <w:szCs w:val="26"/>
              </w:rPr>
              <w:t xml:space="preserve">Within the two-year World Bank loan to </w:t>
            </w:r>
            <w:r w:rsidR="00F6784B">
              <w:rPr>
                <w:rFonts w:cs="Arial"/>
                <w:szCs w:val="26"/>
              </w:rPr>
              <w:t xml:space="preserve">the </w:t>
            </w:r>
            <w:r>
              <w:rPr>
                <w:rFonts w:cs="Arial"/>
                <w:szCs w:val="26"/>
              </w:rPr>
              <w:t xml:space="preserve">Ministry of Health and Medical Industry of Turkmenistan and in collaboration with UNDP and WHO, UNICEF </w:t>
            </w:r>
            <w:r w:rsidR="00943EE1">
              <w:rPr>
                <w:rFonts w:cs="Arial"/>
                <w:szCs w:val="26"/>
              </w:rPr>
              <w:t>is</w:t>
            </w:r>
            <w:r>
              <w:rPr>
                <w:rFonts w:cs="Arial"/>
                <w:szCs w:val="26"/>
              </w:rPr>
              <w:t xml:space="preserve"> implement</w:t>
            </w:r>
            <w:r w:rsidR="00943EE1">
              <w:rPr>
                <w:rFonts w:cs="Arial"/>
                <w:szCs w:val="26"/>
              </w:rPr>
              <w:t>ing</w:t>
            </w:r>
            <w:r>
              <w:rPr>
                <w:rFonts w:cs="Arial"/>
                <w:szCs w:val="26"/>
              </w:rPr>
              <w:t xml:space="preserve"> a large-scale </w:t>
            </w:r>
            <w:r w:rsidR="001C426D">
              <w:rPr>
                <w:rFonts w:cs="Arial"/>
                <w:szCs w:val="26"/>
              </w:rPr>
              <w:t xml:space="preserve">Strengthening </w:t>
            </w:r>
            <w:r>
              <w:rPr>
                <w:rFonts w:cs="Arial"/>
                <w:szCs w:val="26"/>
              </w:rPr>
              <w:t xml:space="preserve">Risk Communication and Community Engagement </w:t>
            </w:r>
            <w:r w:rsidR="001C426D">
              <w:rPr>
                <w:rFonts w:cs="Arial"/>
                <w:szCs w:val="26"/>
              </w:rPr>
              <w:t>component</w:t>
            </w:r>
            <w:r>
              <w:rPr>
                <w:rFonts w:cs="Arial"/>
                <w:szCs w:val="26"/>
              </w:rPr>
              <w:t xml:space="preserve"> </w:t>
            </w:r>
            <w:r w:rsidR="001C426D">
              <w:rPr>
                <w:rFonts w:cs="Arial"/>
                <w:szCs w:val="26"/>
              </w:rPr>
              <w:t xml:space="preserve">of Turkmenistan COVID-19 Response project </w:t>
            </w:r>
            <w:r>
              <w:rPr>
                <w:rFonts w:cs="Arial"/>
                <w:szCs w:val="26"/>
              </w:rPr>
              <w:t xml:space="preserve">starting from November 2021 </w:t>
            </w:r>
            <w:r w:rsidR="00943EE1">
              <w:rPr>
                <w:rFonts w:cs="Arial"/>
                <w:szCs w:val="26"/>
              </w:rPr>
              <w:t>until</w:t>
            </w:r>
            <w:r>
              <w:rPr>
                <w:rFonts w:cs="Arial"/>
                <w:szCs w:val="26"/>
              </w:rPr>
              <w:t xml:space="preserve"> June 2023 designed to </w:t>
            </w:r>
            <w:r w:rsidR="00A91577">
              <w:rPr>
                <w:rFonts w:cs="Arial"/>
                <w:szCs w:val="26"/>
              </w:rPr>
              <w:t>strengthen</w:t>
            </w:r>
            <w:r>
              <w:rPr>
                <w:rFonts w:cs="Arial"/>
                <w:szCs w:val="26"/>
              </w:rPr>
              <w:t xml:space="preserve"> the existing public health system</w:t>
            </w:r>
            <w:r w:rsidR="001C426D">
              <w:rPr>
                <w:rFonts w:cs="Arial"/>
                <w:szCs w:val="26"/>
              </w:rPr>
              <w:t xml:space="preserve"> of Turkmenistan</w:t>
            </w:r>
            <w:r>
              <w:rPr>
                <w:rFonts w:cs="Arial"/>
                <w:szCs w:val="26"/>
              </w:rPr>
              <w:t xml:space="preserve">. </w:t>
            </w:r>
            <w:r w:rsidR="00F6784B">
              <w:rPr>
                <w:rFonts w:cs="Arial"/>
                <w:szCs w:val="26"/>
              </w:rPr>
              <w:t>Withi</w:t>
            </w:r>
            <w:r>
              <w:rPr>
                <w:rFonts w:cs="Arial"/>
                <w:szCs w:val="26"/>
              </w:rPr>
              <w:t xml:space="preserve">n this project, UNICEF will work with Ministry of Health and Medical Industry, Ministry of Education, Ministry of Sport and Youth Policy, State Committee for TV, Radio and Cinematography and other </w:t>
            </w:r>
            <w:r w:rsidR="00F6784B">
              <w:rPr>
                <w:rFonts w:cs="Arial"/>
                <w:szCs w:val="26"/>
              </w:rPr>
              <w:t xml:space="preserve">national </w:t>
            </w:r>
            <w:r>
              <w:rPr>
                <w:rFonts w:cs="Arial"/>
                <w:szCs w:val="26"/>
              </w:rPr>
              <w:t xml:space="preserve">organizations to build capacities in informing </w:t>
            </w:r>
            <w:r w:rsidR="00F6784B">
              <w:rPr>
                <w:rFonts w:cs="Arial"/>
                <w:szCs w:val="26"/>
              </w:rPr>
              <w:t xml:space="preserve">the </w:t>
            </w:r>
            <w:r>
              <w:rPr>
                <w:rFonts w:cs="Arial"/>
                <w:szCs w:val="26"/>
              </w:rPr>
              <w:t>public about risks and necessary preventive measures and fostering community engagement mechanisms to build resilience for future pandemic/disasters.</w:t>
            </w:r>
          </w:p>
          <w:p w14:paraId="7DD0BDE6" w14:textId="77777777" w:rsidR="00BC7BF5" w:rsidRDefault="00BC7BF5" w:rsidP="00BC7BF5">
            <w:pPr>
              <w:ind w:left="360"/>
              <w:jc w:val="both"/>
            </w:pPr>
          </w:p>
          <w:p w14:paraId="09C934D4" w14:textId="19E0CC0A" w:rsidR="00AF38A0" w:rsidRPr="00BC7BF5" w:rsidRDefault="00A91577" w:rsidP="00BC7BF5">
            <w:pPr>
              <w:ind w:left="360"/>
              <w:jc w:val="both"/>
              <w:rPr>
                <w:rFonts w:cs="Arial"/>
                <w:szCs w:val="26"/>
              </w:rPr>
            </w:pPr>
            <w:r>
              <w:rPr>
                <w:lang w:val="en-AU"/>
              </w:rPr>
              <w:t xml:space="preserve">For this purposes, </w:t>
            </w:r>
            <w:r w:rsidR="00BC7BF5">
              <w:rPr>
                <w:lang w:val="en-AU"/>
              </w:rPr>
              <w:t xml:space="preserve">UNICEF Office in Turkmenistan desires </w:t>
            </w:r>
            <w:r w:rsidR="00B636C4">
              <w:rPr>
                <w:lang w:val="en-AU"/>
              </w:rPr>
              <w:t xml:space="preserve">to strengthen digital capacity </w:t>
            </w:r>
            <w:r w:rsidR="00B636C4" w:rsidRPr="00BC7BF5">
              <w:rPr>
                <w:lang w:val="en-AU"/>
              </w:rPr>
              <w:t>of</w:t>
            </w:r>
            <w:r w:rsidR="00BC7BF5" w:rsidRPr="00BC7BF5">
              <w:rPr>
                <w:lang w:val="en-AU"/>
              </w:rPr>
              <w:t xml:space="preserve"> Health Information Centre</w:t>
            </w:r>
            <w:r w:rsidR="00BC7BF5">
              <w:rPr>
                <w:lang w:val="en-AU"/>
              </w:rPr>
              <w:t xml:space="preserve"> of the </w:t>
            </w:r>
            <w:r w:rsidR="00BC7BF5" w:rsidRPr="00BC7BF5">
              <w:rPr>
                <w:lang w:val="en-AU"/>
              </w:rPr>
              <w:t>Ministry</w:t>
            </w:r>
            <w:r w:rsidR="00BC7BF5">
              <w:rPr>
                <w:lang w:val="en-AU"/>
              </w:rPr>
              <w:t xml:space="preserve"> </w:t>
            </w:r>
            <w:r w:rsidR="00BC7BF5" w:rsidRPr="00BC7BF5">
              <w:rPr>
                <w:lang w:val="en-AU"/>
              </w:rPr>
              <w:t>o</w:t>
            </w:r>
            <w:r w:rsidR="00BC7BF5">
              <w:rPr>
                <w:lang w:val="en-AU"/>
              </w:rPr>
              <w:t xml:space="preserve">f </w:t>
            </w:r>
            <w:r w:rsidR="00BC7BF5" w:rsidRPr="00BC7BF5">
              <w:rPr>
                <w:lang w:val="en-AU"/>
              </w:rPr>
              <w:t>H</w:t>
            </w:r>
            <w:r w:rsidR="00BC7BF5">
              <w:rPr>
                <w:lang w:val="en-AU"/>
              </w:rPr>
              <w:t xml:space="preserve">ealth and </w:t>
            </w:r>
            <w:r w:rsidR="00BC7BF5" w:rsidRPr="00BC7BF5">
              <w:rPr>
                <w:lang w:val="en-AU"/>
              </w:rPr>
              <w:t>M</w:t>
            </w:r>
            <w:r w:rsidR="00BC7BF5">
              <w:rPr>
                <w:lang w:val="en-AU"/>
              </w:rPr>
              <w:t xml:space="preserve">edical </w:t>
            </w:r>
            <w:r w:rsidR="00BC7BF5" w:rsidRPr="00BC7BF5">
              <w:rPr>
                <w:lang w:val="en-AU"/>
              </w:rPr>
              <w:t>I</w:t>
            </w:r>
            <w:r w:rsidR="00BC7BF5">
              <w:rPr>
                <w:lang w:val="en-AU"/>
              </w:rPr>
              <w:t xml:space="preserve">ndustry of Turkmenistan </w:t>
            </w:r>
            <w:r w:rsidR="00BC7BF5" w:rsidRPr="00BC7BF5">
              <w:rPr>
                <w:lang w:val="en-AU"/>
              </w:rPr>
              <w:t>to disseminate information from the national to state and local levels,</w:t>
            </w:r>
            <w:r w:rsidR="00BC7BF5">
              <w:rPr>
                <w:lang w:val="en-AU"/>
              </w:rPr>
              <w:t xml:space="preserve"> </w:t>
            </w:r>
            <w:r w:rsidR="00BC7BF5" w:rsidRPr="00BC7BF5">
              <w:rPr>
                <w:lang w:val="en-AU"/>
              </w:rPr>
              <w:t>between the public and private sectors, and within communitie</w:t>
            </w:r>
            <w:r w:rsidR="00BC7BF5">
              <w:rPr>
                <w:lang w:val="en-AU"/>
              </w:rPr>
              <w:t>s by engaging</w:t>
            </w:r>
            <w:r>
              <w:rPr>
                <w:lang w:val="en-AU"/>
              </w:rPr>
              <w:t xml:space="preserve"> </w:t>
            </w:r>
            <w:r w:rsidR="00884AE5">
              <w:rPr>
                <w:lang w:val="en-AU"/>
              </w:rPr>
              <w:t>local</w:t>
            </w:r>
            <w:r>
              <w:rPr>
                <w:lang w:val="en-AU"/>
              </w:rPr>
              <w:t xml:space="preserve"> expertise</w:t>
            </w:r>
            <w:r w:rsidR="00B636C4">
              <w:rPr>
                <w:lang w:val="en-AU"/>
              </w:rPr>
              <w:t xml:space="preserve"> to integrate </w:t>
            </w:r>
            <w:r w:rsidR="00A6279B">
              <w:rPr>
                <w:lang w:val="en-AU"/>
              </w:rPr>
              <w:t xml:space="preserve">the </w:t>
            </w:r>
            <w:r w:rsidR="00B636C4">
              <w:rPr>
                <w:lang w:val="en-AU"/>
              </w:rPr>
              <w:t>equipment system of TV studio</w:t>
            </w:r>
            <w:r>
              <w:rPr>
                <w:lang w:val="en-AU"/>
              </w:rPr>
              <w:t xml:space="preserve">. </w:t>
            </w:r>
            <w:r w:rsidR="00CA1084">
              <w:rPr>
                <w:lang w:val="en-AU"/>
              </w:rPr>
              <w:t>T</w:t>
            </w:r>
            <w:r w:rsidR="007022CD">
              <w:t xml:space="preserve">he overall objective of the </w:t>
            </w:r>
            <w:r w:rsidR="00884AE5">
              <w:t>national</w:t>
            </w:r>
            <w:r w:rsidR="005D071C">
              <w:t xml:space="preserve"> </w:t>
            </w:r>
            <w:r w:rsidR="007022CD">
              <w:t xml:space="preserve">consultancy is to </w:t>
            </w:r>
            <w:r w:rsidR="008248A4">
              <w:t xml:space="preserve">support </w:t>
            </w:r>
            <w:r w:rsidR="00884AE5">
              <w:t>Health Information Centre of the</w:t>
            </w:r>
            <w:r w:rsidR="008248A4">
              <w:t xml:space="preserve"> </w:t>
            </w:r>
            <w:r w:rsidR="007022CD">
              <w:t>Ministry of Health and Medical Industry</w:t>
            </w:r>
            <w:r w:rsidR="00884AE5">
              <w:t xml:space="preserve"> of Turkmenistan</w:t>
            </w:r>
            <w:r w:rsidR="005D071C">
              <w:t xml:space="preserve"> </w:t>
            </w:r>
            <w:r w:rsidR="00986C8B">
              <w:t>to</w:t>
            </w:r>
            <w:r w:rsidR="001C426D">
              <w:t xml:space="preserve"> expand existing</w:t>
            </w:r>
            <w:r w:rsidR="00986C8B">
              <w:t xml:space="preserve"> TV studio</w:t>
            </w:r>
            <w:r w:rsidR="00B636C4">
              <w:t xml:space="preserve"> capacity by</w:t>
            </w:r>
            <w:r w:rsidR="00986C8B">
              <w:t xml:space="preserve"> </w:t>
            </w:r>
            <w:r w:rsidR="00B636C4">
              <w:t xml:space="preserve">integrating newly acquired video, </w:t>
            </w:r>
            <w:proofErr w:type="gramStart"/>
            <w:r w:rsidR="00B636C4">
              <w:t>audio</w:t>
            </w:r>
            <w:proofErr w:type="gramEnd"/>
            <w:r w:rsidR="00B636C4">
              <w:t xml:space="preserve"> and other relevant TV studio equipment under the project</w:t>
            </w:r>
            <w:r w:rsidR="00CA4819">
              <w:t xml:space="preserve">. </w:t>
            </w:r>
            <w:r w:rsidR="008371ED">
              <w:t xml:space="preserve"> </w:t>
            </w:r>
          </w:p>
        </w:tc>
      </w:tr>
      <w:tr w:rsidR="00AF38A0" w14:paraId="793E848B" w14:textId="77777777" w:rsidTr="00FD2131">
        <w:trPr>
          <w:trHeight w:val="2330"/>
        </w:trPr>
        <w:tc>
          <w:tcPr>
            <w:tcW w:w="9895" w:type="dxa"/>
            <w:tcBorders>
              <w:top w:val="single" w:sz="4" w:space="0" w:color="auto"/>
              <w:left w:val="single" w:sz="4" w:space="0" w:color="auto"/>
              <w:bottom w:val="single" w:sz="4" w:space="0" w:color="auto"/>
              <w:right w:val="single" w:sz="4" w:space="0" w:color="auto"/>
            </w:tcBorders>
          </w:tcPr>
          <w:p w14:paraId="19612BDD" w14:textId="77777777" w:rsidR="00AF38A0" w:rsidRDefault="00AF38A0" w:rsidP="007027B9">
            <w:pPr>
              <w:spacing w:before="60" w:after="60" w:line="240" w:lineRule="auto"/>
              <w:rPr>
                <w:rFonts w:ascii="Calibri" w:eastAsia="Arial Unicode MS" w:hAnsi="Calibri" w:cs="Calibri"/>
                <w:b/>
                <w:bCs/>
                <w:color w:val="auto"/>
                <w:lang w:val="en-AU"/>
              </w:rPr>
            </w:pPr>
            <w:r w:rsidRPr="00B63E76">
              <w:rPr>
                <w:rFonts w:ascii="Calibri" w:eastAsia="Arial Unicode MS" w:hAnsi="Calibri" w:cs="Calibri"/>
                <w:b/>
                <w:bCs/>
                <w:color w:val="auto"/>
                <w:lang w:val="en-AU"/>
              </w:rPr>
              <w:lastRenderedPageBreak/>
              <w:t>Scope of Work:</w:t>
            </w:r>
          </w:p>
          <w:p w14:paraId="6C7AD730" w14:textId="725EE0E1" w:rsidR="006E6D73" w:rsidRDefault="008248A4" w:rsidP="007022CD">
            <w:pPr>
              <w:pStyle w:val="ListParagraph"/>
              <w:ind w:left="360"/>
              <w:jc w:val="both"/>
              <w:rPr>
                <w:bCs/>
              </w:rPr>
            </w:pPr>
            <w:r>
              <w:rPr>
                <w:bCs/>
              </w:rPr>
              <w:t>Within the</w:t>
            </w:r>
            <w:r w:rsidR="00B976E4">
              <w:rPr>
                <w:bCs/>
              </w:rPr>
              <w:t xml:space="preserve"> scope of the</w:t>
            </w:r>
            <w:r w:rsidR="007022CD" w:rsidRPr="007022CD">
              <w:rPr>
                <w:bCs/>
              </w:rPr>
              <w:t xml:space="preserve"> W</w:t>
            </w:r>
            <w:r w:rsidR="00CA1084">
              <w:rPr>
                <w:bCs/>
              </w:rPr>
              <w:t xml:space="preserve">orld Bank </w:t>
            </w:r>
            <w:r>
              <w:rPr>
                <w:bCs/>
              </w:rPr>
              <w:t>l</w:t>
            </w:r>
            <w:r w:rsidR="00CA1084">
              <w:rPr>
                <w:bCs/>
              </w:rPr>
              <w:t>oan’s</w:t>
            </w:r>
            <w:r w:rsidR="007022CD" w:rsidRPr="007022CD">
              <w:rPr>
                <w:bCs/>
              </w:rPr>
              <w:t xml:space="preserve"> </w:t>
            </w:r>
            <w:r w:rsidR="00CA1084">
              <w:rPr>
                <w:bCs/>
              </w:rPr>
              <w:t>funded project on</w:t>
            </w:r>
            <w:r w:rsidR="007022CD" w:rsidRPr="007022CD">
              <w:rPr>
                <w:bCs/>
              </w:rPr>
              <w:t xml:space="preserve"> RCCE</w:t>
            </w:r>
            <w:r w:rsidR="00CA1084">
              <w:rPr>
                <w:bCs/>
              </w:rPr>
              <w:t xml:space="preserve">, </w:t>
            </w:r>
            <w:r w:rsidR="00CA4819">
              <w:rPr>
                <w:bCs/>
              </w:rPr>
              <w:t xml:space="preserve">under the supervision of UNICEF </w:t>
            </w:r>
            <w:r w:rsidR="006E6D73">
              <w:rPr>
                <w:bCs/>
              </w:rPr>
              <w:t>Social and Behavior Change Officer in Turkmenistan</w:t>
            </w:r>
            <w:r w:rsidR="0054258B">
              <w:rPr>
                <w:bCs/>
              </w:rPr>
              <w:t xml:space="preserve"> and working closely with </w:t>
            </w:r>
            <w:r w:rsidR="008F3850">
              <w:rPr>
                <w:bCs/>
              </w:rPr>
              <w:t xml:space="preserve">UNICEF </w:t>
            </w:r>
            <w:r w:rsidR="0054258B">
              <w:rPr>
                <w:bCs/>
              </w:rPr>
              <w:t>National Consultan</w:t>
            </w:r>
            <w:r w:rsidR="00986C8B">
              <w:rPr>
                <w:bCs/>
              </w:rPr>
              <w:t>t and Health Information Centre</w:t>
            </w:r>
            <w:r w:rsidR="008F3850">
              <w:rPr>
                <w:bCs/>
              </w:rPr>
              <w:t xml:space="preserve"> </w:t>
            </w:r>
            <w:r w:rsidR="00986C8B">
              <w:rPr>
                <w:bCs/>
              </w:rPr>
              <w:t>of the Ministry of Health and Medical Industry of Turkmenistan</w:t>
            </w:r>
            <w:r w:rsidR="00CA2615">
              <w:rPr>
                <w:bCs/>
              </w:rPr>
              <w:t>,</w:t>
            </w:r>
            <w:r w:rsidR="006E6D73">
              <w:rPr>
                <w:bCs/>
              </w:rPr>
              <w:t xml:space="preserve"> </w:t>
            </w:r>
            <w:r>
              <w:rPr>
                <w:bCs/>
              </w:rPr>
              <w:t xml:space="preserve">the </w:t>
            </w:r>
            <w:r w:rsidR="0073692D">
              <w:rPr>
                <w:bCs/>
              </w:rPr>
              <w:t>National</w:t>
            </w:r>
            <w:r w:rsidR="00CA4819">
              <w:rPr>
                <w:bCs/>
              </w:rPr>
              <w:t xml:space="preserve"> </w:t>
            </w:r>
            <w:r w:rsidR="00CA1084">
              <w:rPr>
                <w:bCs/>
              </w:rPr>
              <w:t xml:space="preserve">Consultant will </w:t>
            </w:r>
            <w:r w:rsidR="00FD2131">
              <w:rPr>
                <w:bCs/>
              </w:rPr>
              <w:t xml:space="preserve">provide </w:t>
            </w:r>
            <w:r w:rsidR="008F3850">
              <w:rPr>
                <w:bCs/>
              </w:rPr>
              <w:t xml:space="preserve">existing </w:t>
            </w:r>
            <w:r w:rsidR="00A87818">
              <w:rPr>
                <w:bCs/>
              </w:rPr>
              <w:t>equipment</w:t>
            </w:r>
            <w:r w:rsidR="00FD2131">
              <w:rPr>
                <w:bCs/>
              </w:rPr>
              <w:t xml:space="preserve"> </w:t>
            </w:r>
            <w:r w:rsidR="008F3850">
              <w:rPr>
                <w:bCs/>
              </w:rPr>
              <w:t xml:space="preserve">capacity </w:t>
            </w:r>
            <w:r w:rsidR="00FD2131">
              <w:rPr>
                <w:bCs/>
              </w:rPr>
              <w:t>assessment</w:t>
            </w:r>
            <w:r w:rsidR="00A87818">
              <w:rPr>
                <w:bCs/>
              </w:rPr>
              <w:t xml:space="preserve"> for the establishment of</w:t>
            </w:r>
            <w:r w:rsidR="008F3850">
              <w:rPr>
                <w:bCs/>
              </w:rPr>
              <w:t xml:space="preserve"> </w:t>
            </w:r>
            <w:r w:rsidR="00B636C4">
              <w:rPr>
                <w:bCs/>
              </w:rPr>
              <w:t xml:space="preserve">enhanced </w:t>
            </w:r>
            <w:bookmarkStart w:id="2" w:name="_Hlk119428056"/>
            <w:r w:rsidR="008F3850">
              <w:rPr>
                <w:bCs/>
              </w:rPr>
              <w:t xml:space="preserve">digital </w:t>
            </w:r>
            <w:r w:rsidR="00A87818">
              <w:rPr>
                <w:bCs/>
              </w:rPr>
              <w:t>TV studio</w:t>
            </w:r>
            <w:r w:rsidR="00FD2131">
              <w:rPr>
                <w:bCs/>
              </w:rPr>
              <w:t xml:space="preserve">, </w:t>
            </w:r>
            <w:r w:rsidR="008F3850">
              <w:rPr>
                <w:bCs/>
              </w:rPr>
              <w:t xml:space="preserve">available </w:t>
            </w:r>
            <w:r w:rsidR="00A87818">
              <w:rPr>
                <w:bCs/>
              </w:rPr>
              <w:t xml:space="preserve">equipment </w:t>
            </w:r>
            <w:r w:rsidR="00FD2131">
              <w:rPr>
                <w:bCs/>
              </w:rPr>
              <w:t>systems integration</w:t>
            </w:r>
            <w:bookmarkEnd w:id="2"/>
            <w:r w:rsidR="00A87818">
              <w:rPr>
                <w:bCs/>
              </w:rPr>
              <w:t xml:space="preserve">, enriching </w:t>
            </w:r>
            <w:r w:rsidR="00FD2131">
              <w:rPr>
                <w:bCs/>
              </w:rPr>
              <w:t xml:space="preserve">relevant </w:t>
            </w:r>
            <w:r w:rsidR="00A87818">
              <w:rPr>
                <w:bCs/>
              </w:rPr>
              <w:t xml:space="preserve">central and </w:t>
            </w:r>
            <w:proofErr w:type="spellStart"/>
            <w:r w:rsidR="00FC58E8">
              <w:rPr>
                <w:bCs/>
              </w:rPr>
              <w:t>velayat</w:t>
            </w:r>
            <w:proofErr w:type="spellEnd"/>
            <w:r w:rsidR="00A87818">
              <w:rPr>
                <w:bCs/>
              </w:rPr>
              <w:t xml:space="preserve"> H</w:t>
            </w:r>
            <w:r w:rsidR="008F3850">
              <w:rPr>
                <w:bCs/>
              </w:rPr>
              <w:t xml:space="preserve">ealth </w:t>
            </w:r>
            <w:r w:rsidR="00A87818">
              <w:rPr>
                <w:bCs/>
              </w:rPr>
              <w:t>I</w:t>
            </w:r>
            <w:r w:rsidR="008F3850">
              <w:rPr>
                <w:bCs/>
              </w:rPr>
              <w:t xml:space="preserve">nformation </w:t>
            </w:r>
            <w:r w:rsidR="00A87818">
              <w:rPr>
                <w:bCs/>
              </w:rPr>
              <w:t>C</w:t>
            </w:r>
            <w:r w:rsidR="008F3850">
              <w:rPr>
                <w:bCs/>
              </w:rPr>
              <w:t>entre</w:t>
            </w:r>
            <w:r w:rsidR="00A87818">
              <w:rPr>
                <w:bCs/>
              </w:rPr>
              <w:t xml:space="preserve"> staff </w:t>
            </w:r>
            <w:r w:rsidR="00CA2615">
              <w:rPr>
                <w:bCs/>
              </w:rPr>
              <w:t xml:space="preserve">capacity on </w:t>
            </w:r>
            <w:r w:rsidR="00A87818">
              <w:rPr>
                <w:bCs/>
              </w:rPr>
              <w:t xml:space="preserve">technical </w:t>
            </w:r>
            <w:r w:rsidR="00180411">
              <w:rPr>
                <w:bCs/>
              </w:rPr>
              <w:t xml:space="preserve">maintenance and integration </w:t>
            </w:r>
            <w:r w:rsidR="00FD2131">
              <w:rPr>
                <w:bCs/>
              </w:rPr>
              <w:t>servi</w:t>
            </w:r>
            <w:r w:rsidR="00A87818">
              <w:rPr>
                <w:bCs/>
              </w:rPr>
              <w:t>cing</w:t>
            </w:r>
            <w:r w:rsidR="00CA2615">
              <w:rPr>
                <w:bCs/>
              </w:rPr>
              <w:t xml:space="preserve"> of TV studio </w:t>
            </w:r>
            <w:r w:rsidR="008F3850">
              <w:rPr>
                <w:bCs/>
              </w:rPr>
              <w:t xml:space="preserve">equipment </w:t>
            </w:r>
            <w:r w:rsidR="00B64363">
              <w:rPr>
                <w:bCs/>
              </w:rPr>
              <w:t>for its designated</w:t>
            </w:r>
            <w:r w:rsidR="00180411">
              <w:rPr>
                <w:bCs/>
              </w:rPr>
              <w:t xml:space="preserve"> technical</w:t>
            </w:r>
            <w:r w:rsidR="00B64363">
              <w:rPr>
                <w:bCs/>
              </w:rPr>
              <w:t xml:space="preserve"> staff</w:t>
            </w:r>
            <w:r w:rsidR="00A01C49">
              <w:rPr>
                <w:bCs/>
              </w:rPr>
              <w:t>.</w:t>
            </w:r>
            <w:r w:rsidR="00896712">
              <w:rPr>
                <w:bCs/>
              </w:rPr>
              <w:t xml:space="preserve"> </w:t>
            </w:r>
            <w:r w:rsidR="00180411">
              <w:rPr>
                <w:bCs/>
              </w:rPr>
              <w:t>National</w:t>
            </w:r>
            <w:r w:rsidR="00896712">
              <w:rPr>
                <w:bCs/>
              </w:rPr>
              <w:t xml:space="preserve"> Consultant is expected to carry out the tasks as per below deliveries </w:t>
            </w:r>
            <w:r w:rsidR="00FC58E8">
              <w:rPr>
                <w:bCs/>
              </w:rPr>
              <w:t>with duty station based</w:t>
            </w:r>
            <w:r w:rsidR="00FD2131">
              <w:rPr>
                <w:bCs/>
              </w:rPr>
              <w:t xml:space="preserve"> in Ashgabat, Turkmenistan</w:t>
            </w:r>
            <w:r w:rsidR="00896712">
              <w:rPr>
                <w:bCs/>
              </w:rPr>
              <w:t xml:space="preserve">. </w:t>
            </w:r>
            <w:r w:rsidR="004F6E3D">
              <w:rPr>
                <w:bCs/>
              </w:rPr>
              <w:t>The i</w:t>
            </w:r>
            <w:r w:rsidR="00FD2131">
              <w:rPr>
                <w:bCs/>
              </w:rPr>
              <w:t>ncumbent</w:t>
            </w:r>
            <w:r w:rsidR="00896712">
              <w:rPr>
                <w:bCs/>
              </w:rPr>
              <w:t xml:space="preserve"> will work in close cooperation with national partners</w:t>
            </w:r>
            <w:r w:rsidR="00554CA4">
              <w:rPr>
                <w:bCs/>
              </w:rPr>
              <w:t xml:space="preserve"> and </w:t>
            </w:r>
            <w:r w:rsidR="00896712">
              <w:rPr>
                <w:bCs/>
              </w:rPr>
              <w:t xml:space="preserve">UNICEF Turkmenistan </w:t>
            </w:r>
            <w:r w:rsidR="00FD2131">
              <w:rPr>
                <w:bCs/>
              </w:rPr>
              <w:t xml:space="preserve">as detailed </w:t>
            </w:r>
            <w:r w:rsidR="00A6279B">
              <w:rPr>
                <w:bCs/>
              </w:rPr>
              <w:t xml:space="preserve">in </w:t>
            </w:r>
            <w:r w:rsidR="00FD2131">
              <w:rPr>
                <w:bCs/>
              </w:rPr>
              <w:t xml:space="preserve">below tasks and deliveries:  </w:t>
            </w:r>
          </w:p>
          <w:p w14:paraId="36BFDAED" w14:textId="1E6058B6" w:rsidR="00AF38A0" w:rsidRPr="0054258B" w:rsidRDefault="00AF38A0" w:rsidP="0054258B">
            <w:pPr>
              <w:spacing w:after="160" w:line="259" w:lineRule="auto"/>
              <w:jc w:val="both"/>
              <w:rPr>
                <w:rFonts w:cstheme="minorHAnsi"/>
              </w:rPr>
            </w:pPr>
          </w:p>
        </w:tc>
      </w:tr>
    </w:tbl>
    <w:p w14:paraId="3759EB7C" w14:textId="77777777" w:rsidR="00AF38A0" w:rsidRDefault="00AF38A0"/>
    <w:tbl>
      <w:tblPr>
        <w:tblStyle w:val="TableGrid"/>
        <w:tblW w:w="9684" w:type="dxa"/>
        <w:tblLook w:val="04A0" w:firstRow="1" w:lastRow="0" w:firstColumn="1" w:lastColumn="0" w:noHBand="0" w:noVBand="1"/>
      </w:tblPr>
      <w:tblGrid>
        <w:gridCol w:w="3566"/>
        <w:gridCol w:w="2587"/>
        <w:gridCol w:w="3531"/>
      </w:tblGrid>
      <w:tr w:rsidR="00655D29" w14:paraId="444A3D95" w14:textId="77777777" w:rsidTr="00A333B7">
        <w:tc>
          <w:tcPr>
            <w:tcW w:w="9684" w:type="dxa"/>
            <w:gridSpan w:val="3"/>
          </w:tcPr>
          <w:p w14:paraId="3C773798" w14:textId="77777777" w:rsidR="00655D29" w:rsidRDefault="00655D29" w:rsidP="007027B9">
            <w:pPr>
              <w:spacing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t>Work Assignment Overview</w:t>
            </w:r>
          </w:p>
          <w:p w14:paraId="449C8940" w14:textId="77777777" w:rsidR="00655D29" w:rsidRPr="003414FC" w:rsidRDefault="00655D29" w:rsidP="007027B9">
            <w:pPr>
              <w:spacing w:line="240" w:lineRule="auto"/>
            </w:pPr>
          </w:p>
        </w:tc>
      </w:tr>
      <w:tr w:rsidR="00D43C6D" w14:paraId="6721E8D0" w14:textId="77777777" w:rsidTr="00A333B7">
        <w:tc>
          <w:tcPr>
            <w:tcW w:w="3566" w:type="dxa"/>
            <w:shd w:val="clear" w:color="auto" w:fill="D9D9D9" w:themeFill="background1" w:themeFillShade="D9"/>
          </w:tcPr>
          <w:p w14:paraId="6F295518" w14:textId="77777777" w:rsidR="00D43C6D" w:rsidRPr="00A65E45" w:rsidRDefault="00D43C6D" w:rsidP="007027B9">
            <w:pPr>
              <w:spacing w:line="240" w:lineRule="auto"/>
              <w:rPr>
                <w:rFonts w:ascii="Calibri" w:eastAsia="Arial Unicode MS" w:hAnsi="Calibri" w:cs="Calibri"/>
                <w:b/>
                <w:bCs/>
                <w:color w:val="auto"/>
                <w:lang w:val="en-AU"/>
              </w:rPr>
            </w:pPr>
          </w:p>
          <w:p w14:paraId="1FB25D00" w14:textId="77777777" w:rsidR="00D43C6D" w:rsidRPr="00A65E45" w:rsidRDefault="00D43C6D" w:rsidP="007027B9">
            <w:pPr>
              <w:spacing w:line="240" w:lineRule="auto"/>
              <w:rPr>
                <w:rFonts w:ascii="Calibri" w:eastAsia="Arial Unicode MS" w:hAnsi="Calibri" w:cs="Calibri"/>
                <w:b/>
                <w:bCs/>
                <w:color w:val="auto"/>
                <w:lang w:val="en-AU"/>
              </w:rPr>
            </w:pPr>
            <w:r w:rsidRPr="00A65E45">
              <w:rPr>
                <w:rFonts w:ascii="Calibri" w:eastAsia="Arial Unicode MS" w:hAnsi="Calibri" w:cs="Calibri"/>
                <w:b/>
                <w:bCs/>
                <w:color w:val="auto"/>
                <w:lang w:val="en-AU"/>
              </w:rPr>
              <w:t>Tasks/Milestone:</w:t>
            </w:r>
          </w:p>
          <w:p w14:paraId="18A69667" w14:textId="77777777" w:rsidR="00D43C6D" w:rsidRPr="00A65E45" w:rsidRDefault="00D43C6D" w:rsidP="007027B9">
            <w:pPr>
              <w:spacing w:line="240" w:lineRule="auto"/>
              <w:rPr>
                <w:b/>
                <w:bCs/>
              </w:rPr>
            </w:pPr>
          </w:p>
        </w:tc>
        <w:tc>
          <w:tcPr>
            <w:tcW w:w="2587" w:type="dxa"/>
            <w:shd w:val="clear" w:color="auto" w:fill="D9D9D9" w:themeFill="background1" w:themeFillShade="D9"/>
          </w:tcPr>
          <w:p w14:paraId="49E4B93F" w14:textId="77777777" w:rsidR="00D43C6D" w:rsidRPr="00A65E45" w:rsidRDefault="00D43C6D" w:rsidP="007027B9">
            <w:pPr>
              <w:spacing w:line="240" w:lineRule="auto"/>
              <w:rPr>
                <w:rFonts w:ascii="Calibri" w:eastAsia="Arial Unicode MS" w:hAnsi="Calibri" w:cs="Calibri"/>
                <w:b/>
                <w:bCs/>
                <w:color w:val="auto"/>
                <w:lang w:val="en-AU"/>
              </w:rPr>
            </w:pPr>
          </w:p>
          <w:p w14:paraId="66A378D5" w14:textId="77777777" w:rsidR="00D43C6D" w:rsidRPr="00A65E45" w:rsidRDefault="00D43C6D" w:rsidP="007027B9">
            <w:pPr>
              <w:spacing w:line="240" w:lineRule="auto"/>
              <w:rPr>
                <w:b/>
                <w:bCs/>
              </w:rPr>
            </w:pPr>
            <w:r w:rsidRPr="00A65E45">
              <w:rPr>
                <w:rFonts w:ascii="Calibri" w:eastAsia="Arial Unicode MS" w:hAnsi="Calibri" w:cs="Calibri"/>
                <w:b/>
                <w:bCs/>
                <w:color w:val="auto"/>
                <w:lang w:val="en-AU"/>
              </w:rPr>
              <w:t>Deliverables/Outputs:</w:t>
            </w:r>
          </w:p>
        </w:tc>
        <w:tc>
          <w:tcPr>
            <w:tcW w:w="3531" w:type="dxa"/>
            <w:shd w:val="clear" w:color="auto" w:fill="D9D9D9" w:themeFill="background1" w:themeFillShade="D9"/>
          </w:tcPr>
          <w:p w14:paraId="15005B82" w14:textId="77777777" w:rsidR="00D43C6D" w:rsidRPr="00A65E45" w:rsidRDefault="00D43C6D" w:rsidP="007027B9">
            <w:pPr>
              <w:spacing w:line="240" w:lineRule="auto"/>
              <w:jc w:val="center"/>
              <w:rPr>
                <w:rFonts w:ascii="Calibri" w:eastAsia="Arial Unicode MS" w:hAnsi="Calibri" w:cs="Calibri"/>
                <w:b/>
                <w:bCs/>
                <w:color w:val="auto"/>
                <w:lang w:val="en-AU"/>
              </w:rPr>
            </w:pPr>
          </w:p>
          <w:p w14:paraId="625F5158" w14:textId="77777777" w:rsidR="00D43C6D" w:rsidRPr="00A65E45" w:rsidRDefault="00D43C6D" w:rsidP="007027B9">
            <w:pPr>
              <w:spacing w:line="240" w:lineRule="auto"/>
              <w:jc w:val="center"/>
              <w:rPr>
                <w:b/>
                <w:bCs/>
              </w:rPr>
            </w:pPr>
            <w:r w:rsidRPr="00A65E45">
              <w:rPr>
                <w:rFonts w:ascii="Calibri" w:eastAsia="Arial Unicode MS" w:hAnsi="Calibri" w:cs="Calibri"/>
                <w:b/>
                <w:bCs/>
                <w:color w:val="auto"/>
                <w:lang w:val="en-AU"/>
              </w:rPr>
              <w:t>Timeline:</w:t>
            </w:r>
          </w:p>
          <w:p w14:paraId="62093794" w14:textId="49C33F47" w:rsidR="00D43C6D" w:rsidRPr="00A65E45" w:rsidRDefault="00D43C6D" w:rsidP="007027B9">
            <w:pPr>
              <w:spacing w:line="240" w:lineRule="auto"/>
              <w:jc w:val="center"/>
              <w:rPr>
                <w:rFonts w:ascii="Calibri" w:eastAsia="Arial Unicode MS" w:hAnsi="Calibri" w:cs="Calibri"/>
                <w:b/>
                <w:bCs/>
                <w:color w:val="auto"/>
                <w:lang w:val="en-AU"/>
              </w:rPr>
            </w:pPr>
          </w:p>
          <w:p w14:paraId="61BE9333" w14:textId="77777777" w:rsidR="00D43C6D" w:rsidRPr="00A65E45" w:rsidRDefault="00D43C6D" w:rsidP="00D43C6D">
            <w:pPr>
              <w:spacing w:line="240" w:lineRule="auto"/>
              <w:jc w:val="center"/>
              <w:rPr>
                <w:b/>
                <w:bCs/>
              </w:rPr>
            </w:pPr>
          </w:p>
        </w:tc>
      </w:tr>
      <w:tr w:rsidR="00810C5E" w14:paraId="02725ABA" w14:textId="77777777" w:rsidTr="00A333B7">
        <w:trPr>
          <w:trHeight w:val="539"/>
        </w:trPr>
        <w:tc>
          <w:tcPr>
            <w:tcW w:w="9684" w:type="dxa"/>
            <w:gridSpan w:val="3"/>
          </w:tcPr>
          <w:p w14:paraId="51F0156A" w14:textId="06C3C823" w:rsidR="00810C5E" w:rsidRPr="003414FC" w:rsidRDefault="00810C5E" w:rsidP="00810C5E">
            <w:pPr>
              <w:jc w:val="both"/>
            </w:pPr>
            <w:r w:rsidRPr="009352C5">
              <w:rPr>
                <w:b/>
                <w:bCs/>
              </w:rPr>
              <w:t>Component 1</w:t>
            </w:r>
            <w:r w:rsidR="005A2305">
              <w:rPr>
                <w:b/>
                <w:bCs/>
              </w:rPr>
              <w:t>.2.</w:t>
            </w:r>
            <w:r>
              <w:rPr>
                <w:b/>
                <w:bCs/>
              </w:rPr>
              <w:t xml:space="preserve">:  </w:t>
            </w:r>
            <w:r w:rsidRPr="009352C5">
              <w:rPr>
                <w:b/>
                <w:bCs/>
              </w:rPr>
              <w:t xml:space="preserve">Strengthening </w:t>
            </w:r>
            <w:r w:rsidR="005A2305">
              <w:rPr>
                <w:b/>
                <w:bCs/>
              </w:rPr>
              <w:t xml:space="preserve">Risk Communication and Community Engagement – RCCE </w:t>
            </w:r>
          </w:p>
        </w:tc>
      </w:tr>
      <w:tr w:rsidR="00D43C6D" w14:paraId="1BA53501" w14:textId="77777777" w:rsidTr="00A333B7">
        <w:tc>
          <w:tcPr>
            <w:tcW w:w="3566" w:type="dxa"/>
          </w:tcPr>
          <w:p w14:paraId="77713615" w14:textId="46E41944" w:rsidR="00D43C6D" w:rsidRPr="00FC49F2" w:rsidRDefault="00FC49F2" w:rsidP="006F4EF8">
            <w:pPr>
              <w:jc w:val="both"/>
              <w:rPr>
                <w:b/>
                <w:bCs/>
              </w:rPr>
            </w:pPr>
            <w:r w:rsidRPr="00B90144">
              <w:rPr>
                <w:b/>
                <w:bCs/>
              </w:rPr>
              <w:t>Delivery 1:</w:t>
            </w:r>
            <w:r>
              <w:t xml:space="preserve"> </w:t>
            </w:r>
            <w:r w:rsidR="00B90144">
              <w:t xml:space="preserve">Conduct </w:t>
            </w:r>
            <w:r w:rsidR="003A3FAC">
              <w:t xml:space="preserve">TV studio </w:t>
            </w:r>
            <w:r w:rsidR="00B81D33">
              <w:t xml:space="preserve">digital </w:t>
            </w:r>
            <w:r w:rsidR="003A3FAC">
              <w:t>capacity extension</w:t>
            </w:r>
            <w:r w:rsidR="00501ADC">
              <w:t xml:space="preserve"> </w:t>
            </w:r>
            <w:r w:rsidR="003A3FAC">
              <w:t xml:space="preserve">assessment </w:t>
            </w:r>
            <w:r w:rsidR="00501ADC">
              <w:t>review</w:t>
            </w:r>
            <w:r w:rsidR="004F6E3D">
              <w:t xml:space="preserve"> </w:t>
            </w:r>
            <w:r w:rsidR="003A3FAC">
              <w:t xml:space="preserve">by visiting to the TV studio of HIC of </w:t>
            </w:r>
            <w:proofErr w:type="spellStart"/>
            <w:r w:rsidR="003A3FAC">
              <w:t>MoHMI</w:t>
            </w:r>
            <w:proofErr w:type="spellEnd"/>
            <w:r w:rsidR="003A3FAC">
              <w:t xml:space="preserve">, room settings of the studio, </w:t>
            </w:r>
            <w:r w:rsidR="004F6E3D">
              <w:t>go through</w:t>
            </w:r>
            <w:r w:rsidR="00501ADC">
              <w:t xml:space="preserve"> </w:t>
            </w:r>
            <w:r w:rsidR="00FD2131">
              <w:t xml:space="preserve">list of available </w:t>
            </w:r>
            <w:r w:rsidR="00B81D33">
              <w:t xml:space="preserve">TV studio </w:t>
            </w:r>
            <w:r w:rsidR="00FD2131">
              <w:t>equipment</w:t>
            </w:r>
            <w:r w:rsidR="00B81D33">
              <w:t xml:space="preserve"> procured under the project</w:t>
            </w:r>
            <w:r w:rsidR="00FD2131">
              <w:t xml:space="preserve"> </w:t>
            </w:r>
            <w:r w:rsidR="00B81D33">
              <w:t>to</w:t>
            </w:r>
            <w:r w:rsidR="006F4EF8">
              <w:t xml:space="preserve"> integrate with existing TV studio equipment system</w:t>
            </w:r>
            <w:r w:rsidR="00B81D33">
              <w:t>s</w:t>
            </w:r>
            <w:r w:rsidR="00887CF1">
              <w:t xml:space="preserve"> to </w:t>
            </w:r>
            <w:r w:rsidR="00B81D33">
              <w:t>provide with TV</w:t>
            </w:r>
            <w:r w:rsidR="00887CF1">
              <w:t xml:space="preserve"> </w:t>
            </w:r>
            <w:r w:rsidR="00B81D33">
              <w:t xml:space="preserve">studio </w:t>
            </w:r>
            <w:r w:rsidR="00887CF1">
              <w:t>equipment gap analysis</w:t>
            </w:r>
            <w:r w:rsidR="006F4EF8">
              <w:t>.</w:t>
            </w:r>
          </w:p>
        </w:tc>
        <w:tc>
          <w:tcPr>
            <w:tcW w:w="2587" w:type="dxa"/>
          </w:tcPr>
          <w:p w14:paraId="4EE56FB7" w14:textId="4029EF08" w:rsidR="00D43C6D" w:rsidRPr="00B90144" w:rsidRDefault="00B90144" w:rsidP="00B90144">
            <w:pPr>
              <w:jc w:val="both"/>
              <w:rPr>
                <w:rFonts w:cstheme="minorHAnsi"/>
              </w:rPr>
            </w:pPr>
            <w:r w:rsidRPr="00B90144">
              <w:rPr>
                <w:rFonts w:cstheme="minorHAnsi"/>
              </w:rPr>
              <w:t>1.</w:t>
            </w:r>
            <w:r>
              <w:rPr>
                <w:rFonts w:cstheme="minorHAnsi"/>
              </w:rPr>
              <w:t xml:space="preserve"> </w:t>
            </w:r>
            <w:r w:rsidR="00B81D33">
              <w:rPr>
                <w:rFonts w:cstheme="minorHAnsi"/>
              </w:rPr>
              <w:t xml:space="preserve">Digital </w:t>
            </w:r>
            <w:r w:rsidR="006F4EF8">
              <w:rPr>
                <w:rFonts w:cstheme="minorHAnsi"/>
              </w:rPr>
              <w:t>TV studio capacity extension</w:t>
            </w:r>
            <w:r>
              <w:rPr>
                <w:rFonts w:cstheme="minorHAnsi"/>
              </w:rPr>
              <w:t xml:space="preserve"> </w:t>
            </w:r>
            <w:r w:rsidR="006F4EF8">
              <w:rPr>
                <w:rFonts w:cstheme="minorHAnsi"/>
              </w:rPr>
              <w:t xml:space="preserve">assessment </w:t>
            </w:r>
            <w:r>
              <w:rPr>
                <w:rFonts w:cstheme="minorHAnsi"/>
              </w:rPr>
              <w:t xml:space="preserve">review have been conducted </w:t>
            </w:r>
            <w:r w:rsidR="00B81D33">
              <w:rPr>
                <w:rFonts w:cstheme="minorHAnsi"/>
              </w:rPr>
              <w:t xml:space="preserve">and digital TV studio equipment gap analysis </w:t>
            </w:r>
            <w:r w:rsidR="006F4EF8">
              <w:rPr>
                <w:rFonts w:cstheme="minorHAnsi"/>
              </w:rPr>
              <w:t>for equipment systems integration</w:t>
            </w:r>
            <w:r w:rsidR="00B81D33">
              <w:rPr>
                <w:rFonts w:cstheme="minorHAnsi"/>
              </w:rPr>
              <w:t xml:space="preserve"> provided</w:t>
            </w:r>
            <w:r w:rsidR="00537FBD">
              <w:rPr>
                <w:rFonts w:cstheme="minorHAnsi"/>
              </w:rPr>
              <w:t>.</w:t>
            </w:r>
            <w:r w:rsidR="006F4EF8">
              <w:rPr>
                <w:rFonts w:cstheme="minorHAnsi"/>
              </w:rPr>
              <w:t xml:space="preserve"> </w:t>
            </w:r>
            <w:r w:rsidR="00537FBD">
              <w:rPr>
                <w:rFonts w:cstheme="minorHAnsi"/>
              </w:rPr>
              <w:t xml:space="preserve"> </w:t>
            </w:r>
          </w:p>
          <w:p w14:paraId="4D34B3A5" w14:textId="77777777" w:rsidR="00D43C6D" w:rsidRPr="00433411" w:rsidRDefault="00D43C6D" w:rsidP="00B73CE1">
            <w:pPr>
              <w:jc w:val="both"/>
            </w:pPr>
          </w:p>
        </w:tc>
        <w:tc>
          <w:tcPr>
            <w:tcW w:w="3531" w:type="dxa"/>
          </w:tcPr>
          <w:p w14:paraId="225B179A" w14:textId="6BF46DEA" w:rsidR="00D43C6D" w:rsidRPr="003414FC" w:rsidRDefault="00B90144" w:rsidP="00B00A5E">
            <w:pPr>
              <w:spacing w:line="240" w:lineRule="auto"/>
            </w:pPr>
            <w:r>
              <w:t xml:space="preserve"> 1</w:t>
            </w:r>
            <w:r w:rsidR="00B81D33">
              <w:t>5</w:t>
            </w:r>
            <w:r>
              <w:t xml:space="preserve"> days by </w:t>
            </w:r>
            <w:r w:rsidR="00B81D33">
              <w:t>31</w:t>
            </w:r>
            <w:r w:rsidR="004C1792">
              <w:t xml:space="preserve"> December</w:t>
            </w:r>
            <w:r w:rsidR="00537FBD">
              <w:t xml:space="preserve"> </w:t>
            </w:r>
            <w:r w:rsidR="00D43C6D">
              <w:t>20</w:t>
            </w:r>
            <w:r>
              <w:t>2</w:t>
            </w:r>
            <w:r w:rsidR="004C1792">
              <w:t>2</w:t>
            </w:r>
            <w:r w:rsidR="00896712">
              <w:t xml:space="preserve"> (H</w:t>
            </w:r>
            <w:r w:rsidR="006F4EF8">
              <w:t>ome based and project site visit at HIC</w:t>
            </w:r>
            <w:r w:rsidR="00896712">
              <w:t>)</w:t>
            </w:r>
            <w:r w:rsidR="004370D0">
              <w:t xml:space="preserve"> </w:t>
            </w:r>
          </w:p>
        </w:tc>
      </w:tr>
      <w:tr w:rsidR="00082525" w14:paraId="7006DCDE" w14:textId="77777777" w:rsidTr="00A333B7">
        <w:tc>
          <w:tcPr>
            <w:tcW w:w="3566" w:type="dxa"/>
          </w:tcPr>
          <w:p w14:paraId="74B7996B" w14:textId="319E5C12" w:rsidR="00082525" w:rsidRPr="00FC49F2" w:rsidRDefault="00FC49F2" w:rsidP="00FC49F2">
            <w:pPr>
              <w:jc w:val="both"/>
              <w:rPr>
                <w:bCs/>
              </w:rPr>
            </w:pPr>
            <w:r w:rsidRPr="00B90144">
              <w:rPr>
                <w:b/>
              </w:rPr>
              <w:t>Delivery 2:</w:t>
            </w:r>
            <w:r w:rsidR="00537FBD">
              <w:rPr>
                <w:b/>
              </w:rPr>
              <w:t xml:space="preserve"> </w:t>
            </w:r>
            <w:r w:rsidR="0025609A">
              <w:rPr>
                <w:bCs/>
              </w:rPr>
              <w:t>Provide with systems integration services</w:t>
            </w:r>
            <w:r w:rsidR="00887CF1">
              <w:rPr>
                <w:bCs/>
              </w:rPr>
              <w:t xml:space="preserve"> based on the available equipment</w:t>
            </w:r>
            <w:r w:rsidR="00D2104F">
              <w:rPr>
                <w:bCs/>
              </w:rPr>
              <w:t xml:space="preserve">, commission </w:t>
            </w:r>
            <w:r w:rsidR="0025609A">
              <w:rPr>
                <w:bCs/>
              </w:rPr>
              <w:t>TV studio</w:t>
            </w:r>
            <w:r w:rsidR="00D2104F">
              <w:rPr>
                <w:bCs/>
              </w:rPr>
              <w:t xml:space="preserve"> </w:t>
            </w:r>
            <w:r w:rsidR="00887CF1">
              <w:rPr>
                <w:bCs/>
              </w:rPr>
              <w:t xml:space="preserve">work with newly integrated </w:t>
            </w:r>
            <w:r w:rsidR="00D2104F">
              <w:rPr>
                <w:bCs/>
              </w:rPr>
              <w:t xml:space="preserve">system equipment together with </w:t>
            </w:r>
            <w:r w:rsidR="0025609A">
              <w:rPr>
                <w:bCs/>
              </w:rPr>
              <w:t>national counterparts</w:t>
            </w:r>
            <w:r w:rsidR="00B144BF">
              <w:rPr>
                <w:bCs/>
              </w:rPr>
              <w:t xml:space="preserve"> for operational </w:t>
            </w:r>
            <w:r w:rsidR="00887CF1">
              <w:rPr>
                <w:bCs/>
              </w:rPr>
              <w:t>check</w:t>
            </w:r>
            <w:r w:rsidR="006F4EF8">
              <w:rPr>
                <w:bCs/>
              </w:rPr>
              <w:t xml:space="preserve"> and organize training for capacity improvement of </w:t>
            </w:r>
            <w:r w:rsidR="00585CCE">
              <w:rPr>
                <w:bCs/>
              </w:rPr>
              <w:t xml:space="preserve">central and </w:t>
            </w:r>
            <w:proofErr w:type="spellStart"/>
            <w:r w:rsidR="00585CCE">
              <w:rPr>
                <w:bCs/>
              </w:rPr>
              <w:t>velayat</w:t>
            </w:r>
            <w:proofErr w:type="spellEnd"/>
            <w:r w:rsidR="00585CCE">
              <w:rPr>
                <w:bCs/>
              </w:rPr>
              <w:t xml:space="preserve"> </w:t>
            </w:r>
            <w:r w:rsidR="006F4EF8">
              <w:rPr>
                <w:bCs/>
              </w:rPr>
              <w:t>technical staff of HIC on how to integrate the equipment systems, use of equipment and technical maintenance of those equipment</w:t>
            </w:r>
            <w:r w:rsidR="00B144BF">
              <w:rPr>
                <w:bCs/>
              </w:rPr>
              <w:t xml:space="preserve">. </w:t>
            </w:r>
          </w:p>
          <w:p w14:paraId="3F7079F9" w14:textId="59EF7964" w:rsidR="00FC49F2" w:rsidRPr="00FC49F2" w:rsidRDefault="00FC49F2" w:rsidP="00FC49F2">
            <w:pPr>
              <w:jc w:val="both"/>
              <w:rPr>
                <w:bCs/>
              </w:rPr>
            </w:pPr>
          </w:p>
          <w:p w14:paraId="780F5587" w14:textId="472D9D09" w:rsidR="00082525" w:rsidRPr="003414FC" w:rsidRDefault="00082525" w:rsidP="00FC49F2">
            <w:pPr>
              <w:jc w:val="both"/>
            </w:pPr>
          </w:p>
        </w:tc>
        <w:tc>
          <w:tcPr>
            <w:tcW w:w="2587" w:type="dxa"/>
          </w:tcPr>
          <w:p w14:paraId="7D41C8D4" w14:textId="5D2B0C8E" w:rsidR="00082525" w:rsidRDefault="002F62CC" w:rsidP="00810C5E">
            <w:r>
              <w:t xml:space="preserve">2. </w:t>
            </w:r>
            <w:r w:rsidR="0025609A">
              <w:t>TV studio equipment systems are integrated</w:t>
            </w:r>
            <w:r w:rsidR="00585CCE">
              <w:t xml:space="preserve"> with newly procured equipment </w:t>
            </w:r>
            <w:r w:rsidR="0025609A">
              <w:t xml:space="preserve">and </w:t>
            </w:r>
            <w:r w:rsidR="00585CCE">
              <w:t xml:space="preserve">equipment </w:t>
            </w:r>
            <w:r w:rsidR="00C740F7">
              <w:t>operational</w:t>
            </w:r>
            <w:r w:rsidR="00585CCE">
              <w:t xml:space="preserve"> test was checked</w:t>
            </w:r>
            <w:r w:rsidR="00C740F7">
              <w:t>.</w:t>
            </w:r>
            <w:r w:rsidR="006F4EF8">
              <w:t xml:space="preserve"> Technical staff capacity of HIC is improved and training </w:t>
            </w:r>
            <w:r w:rsidR="00585CCE">
              <w:t xml:space="preserve">for relevant technical staff </w:t>
            </w:r>
            <w:r w:rsidR="006F4EF8">
              <w:t xml:space="preserve">delivered on the equipment system integration, use and maintenance. </w:t>
            </w:r>
          </w:p>
          <w:p w14:paraId="7F511294" w14:textId="3BEE2EEC" w:rsidR="00082525" w:rsidRPr="003414FC" w:rsidRDefault="00082525" w:rsidP="00FC49F2"/>
        </w:tc>
        <w:tc>
          <w:tcPr>
            <w:tcW w:w="3531" w:type="dxa"/>
          </w:tcPr>
          <w:p w14:paraId="6E5939AF" w14:textId="6B39A2F2" w:rsidR="00806D23" w:rsidRPr="003414FC" w:rsidRDefault="006F4EF8" w:rsidP="007027B9">
            <w:pPr>
              <w:spacing w:line="240" w:lineRule="auto"/>
            </w:pPr>
            <w:r>
              <w:t>1</w:t>
            </w:r>
            <w:r w:rsidR="00585CCE">
              <w:t>5</w:t>
            </w:r>
            <w:r w:rsidR="002F62CC">
              <w:t xml:space="preserve"> days, by </w:t>
            </w:r>
            <w:r w:rsidR="004C1792">
              <w:t>20</w:t>
            </w:r>
            <w:r w:rsidR="002F62CC">
              <w:t xml:space="preserve"> January 2023</w:t>
            </w:r>
            <w:r w:rsidR="00896712">
              <w:t xml:space="preserve"> (Onsite, Ashgabat, Turkmenistan)</w:t>
            </w:r>
          </w:p>
        </w:tc>
      </w:tr>
      <w:tr w:rsidR="00FC49F2" w14:paraId="1F5EBB26" w14:textId="77777777" w:rsidTr="00A333B7">
        <w:tc>
          <w:tcPr>
            <w:tcW w:w="3566" w:type="dxa"/>
          </w:tcPr>
          <w:p w14:paraId="04CD962E" w14:textId="58396F50" w:rsidR="00C740F7" w:rsidRDefault="00FC49F2" w:rsidP="00FC49F2">
            <w:pPr>
              <w:jc w:val="both"/>
              <w:rPr>
                <w:bCs/>
              </w:rPr>
            </w:pPr>
            <w:r w:rsidRPr="00B90144">
              <w:rPr>
                <w:b/>
              </w:rPr>
              <w:t>Delivery</w:t>
            </w:r>
            <w:r w:rsidR="0015752C">
              <w:rPr>
                <w:b/>
              </w:rPr>
              <w:t xml:space="preserve"> </w:t>
            </w:r>
            <w:r w:rsidRPr="00B90144">
              <w:rPr>
                <w:b/>
              </w:rPr>
              <w:t>3:</w:t>
            </w:r>
            <w:r w:rsidR="00ED613F" w:rsidRPr="00624DDD">
              <w:rPr>
                <w:bCs/>
              </w:rPr>
              <w:t xml:space="preserve"> </w:t>
            </w:r>
            <w:r w:rsidR="00624DDD" w:rsidRPr="00624DDD">
              <w:rPr>
                <w:bCs/>
              </w:rPr>
              <w:t xml:space="preserve">Taking equipment gap </w:t>
            </w:r>
            <w:r w:rsidR="00624DDD">
              <w:rPr>
                <w:bCs/>
              </w:rPr>
              <w:t xml:space="preserve">analysis </w:t>
            </w:r>
            <w:r w:rsidR="00624DDD" w:rsidRPr="00624DDD">
              <w:rPr>
                <w:bCs/>
              </w:rPr>
              <w:t xml:space="preserve">into account, </w:t>
            </w:r>
            <w:r w:rsidR="00624DDD">
              <w:rPr>
                <w:bCs/>
              </w:rPr>
              <w:t>p</w:t>
            </w:r>
            <w:r w:rsidR="00ED613F" w:rsidRPr="00624DDD">
              <w:rPr>
                <w:bCs/>
              </w:rPr>
              <w:t>rovide</w:t>
            </w:r>
            <w:r w:rsidR="00624DDD">
              <w:rPr>
                <w:bCs/>
              </w:rPr>
              <w:t xml:space="preserve"> HIC</w:t>
            </w:r>
            <w:r w:rsidR="00ED613F">
              <w:rPr>
                <w:bCs/>
              </w:rPr>
              <w:t xml:space="preserve"> with </w:t>
            </w:r>
            <w:r w:rsidR="00887CF1">
              <w:rPr>
                <w:bCs/>
              </w:rPr>
              <w:t xml:space="preserve">recommendations on further </w:t>
            </w:r>
            <w:r w:rsidR="00887CF1">
              <w:rPr>
                <w:bCs/>
              </w:rPr>
              <w:lastRenderedPageBreak/>
              <w:t>improve</w:t>
            </w:r>
            <w:r w:rsidR="00624DDD">
              <w:rPr>
                <w:bCs/>
              </w:rPr>
              <w:t>ment</w:t>
            </w:r>
            <w:r w:rsidR="00887CF1">
              <w:rPr>
                <w:bCs/>
              </w:rPr>
              <w:t xml:space="preserve"> of TV studio </w:t>
            </w:r>
            <w:r w:rsidR="00624DDD">
              <w:rPr>
                <w:bCs/>
              </w:rPr>
              <w:t xml:space="preserve">capacity </w:t>
            </w:r>
            <w:r w:rsidR="00585CCE">
              <w:rPr>
                <w:bCs/>
              </w:rPr>
              <w:t xml:space="preserve">for advanced digital systems to broadcast </w:t>
            </w:r>
            <w:proofErr w:type="spellStart"/>
            <w:r w:rsidR="00585CCE">
              <w:rPr>
                <w:bCs/>
              </w:rPr>
              <w:t>programmes</w:t>
            </w:r>
            <w:proofErr w:type="spellEnd"/>
            <w:r w:rsidR="00585CCE">
              <w:rPr>
                <w:bCs/>
              </w:rPr>
              <w:t xml:space="preserve"> with innovation</w:t>
            </w:r>
            <w:r w:rsidR="00624DDD">
              <w:rPr>
                <w:bCs/>
              </w:rPr>
              <w:t xml:space="preserve"> through new technologies</w:t>
            </w:r>
            <w:r w:rsidR="00585CCE">
              <w:rPr>
                <w:bCs/>
              </w:rPr>
              <w:t xml:space="preserve">. </w:t>
            </w:r>
            <w:r w:rsidR="005608F9">
              <w:rPr>
                <w:bCs/>
              </w:rPr>
              <w:t>Submit consultancy report.</w:t>
            </w:r>
            <w:r w:rsidR="0015752C">
              <w:rPr>
                <w:bCs/>
              </w:rPr>
              <w:t xml:space="preserve"> </w:t>
            </w:r>
            <w:r w:rsidR="005608F9">
              <w:rPr>
                <w:bCs/>
              </w:rPr>
              <w:t xml:space="preserve"> </w:t>
            </w:r>
            <w:r w:rsidR="00C45DC0">
              <w:rPr>
                <w:bCs/>
              </w:rPr>
              <w:t xml:space="preserve"> </w:t>
            </w:r>
          </w:p>
        </w:tc>
        <w:tc>
          <w:tcPr>
            <w:tcW w:w="2587" w:type="dxa"/>
          </w:tcPr>
          <w:p w14:paraId="5E0720C0" w14:textId="697C1B1E" w:rsidR="00FC49F2" w:rsidRDefault="002F62CC" w:rsidP="00810C5E">
            <w:r>
              <w:lastRenderedPageBreak/>
              <w:t>3.</w:t>
            </w:r>
            <w:r w:rsidR="00624DDD">
              <w:t xml:space="preserve"> Further recommendations of equipment to establish </w:t>
            </w:r>
            <w:r w:rsidR="00624DDD">
              <w:lastRenderedPageBreak/>
              <w:t xml:space="preserve">advanced digital TV studio was provided to HIC.  </w:t>
            </w:r>
            <w:r w:rsidR="005608F9">
              <w:t xml:space="preserve"> Consultancy</w:t>
            </w:r>
            <w:r w:rsidR="000947CE">
              <w:t xml:space="preserve"> report</w:t>
            </w:r>
            <w:r w:rsidR="00C740F7">
              <w:t xml:space="preserve"> submitted</w:t>
            </w:r>
            <w:r>
              <w:t xml:space="preserve">. </w:t>
            </w:r>
          </w:p>
        </w:tc>
        <w:tc>
          <w:tcPr>
            <w:tcW w:w="3531" w:type="dxa"/>
          </w:tcPr>
          <w:p w14:paraId="52804EE0" w14:textId="6CB0BB31" w:rsidR="00FC49F2" w:rsidRPr="003414FC" w:rsidRDefault="00624DDD" w:rsidP="007027B9">
            <w:pPr>
              <w:spacing w:line="240" w:lineRule="auto"/>
            </w:pPr>
            <w:r>
              <w:lastRenderedPageBreak/>
              <w:t>15</w:t>
            </w:r>
            <w:r w:rsidR="002F62CC">
              <w:t xml:space="preserve"> days, by </w:t>
            </w:r>
            <w:r>
              <w:t>10</w:t>
            </w:r>
            <w:r w:rsidR="00C740F7">
              <w:t xml:space="preserve"> </w:t>
            </w:r>
            <w:r w:rsidR="004C1792">
              <w:t>February</w:t>
            </w:r>
            <w:r w:rsidR="002F62CC">
              <w:t xml:space="preserve"> </w:t>
            </w:r>
            <w:r w:rsidR="00C740F7">
              <w:t>2</w:t>
            </w:r>
            <w:r w:rsidR="002F62CC">
              <w:t>023</w:t>
            </w:r>
            <w:r w:rsidR="00896712">
              <w:t xml:space="preserve"> (Onsite, Ashgabat, Turkmenistan)</w:t>
            </w:r>
          </w:p>
        </w:tc>
      </w:tr>
    </w:tbl>
    <w:p w14:paraId="734E6A4B" w14:textId="768F13F4" w:rsidR="00A41458" w:rsidRDefault="00A41458"/>
    <w:p w14:paraId="18630674" w14:textId="77777777" w:rsidR="006D7DDE" w:rsidRPr="006D7DDE" w:rsidRDefault="006D7DDE" w:rsidP="00082525">
      <w:pPr>
        <w:jc w:val="both"/>
        <w:rPr>
          <w:b/>
          <w:bCs/>
          <w:color w:val="auto"/>
        </w:rPr>
      </w:pPr>
      <w:r w:rsidRPr="006D7DDE">
        <w:rPr>
          <w:b/>
          <w:bCs/>
          <w:color w:val="auto"/>
        </w:rPr>
        <w:t>Reporting requirements</w:t>
      </w:r>
    </w:p>
    <w:p w14:paraId="23AE376F" w14:textId="76596BF0" w:rsidR="00B32C03" w:rsidRDefault="006D7DDE" w:rsidP="00082525">
      <w:pPr>
        <w:jc w:val="both"/>
        <w:rPr>
          <w:color w:val="auto"/>
        </w:rPr>
      </w:pPr>
      <w:r w:rsidRPr="006D7DDE">
        <w:rPr>
          <w:color w:val="auto"/>
        </w:rPr>
        <w:t>The</w:t>
      </w:r>
      <w:r w:rsidR="002F62CC">
        <w:rPr>
          <w:color w:val="auto"/>
        </w:rPr>
        <w:t xml:space="preserve"> </w:t>
      </w:r>
      <w:r w:rsidR="00624DDD">
        <w:rPr>
          <w:color w:val="auto"/>
        </w:rPr>
        <w:t>national</w:t>
      </w:r>
      <w:r w:rsidRPr="006D7DDE">
        <w:rPr>
          <w:color w:val="auto"/>
        </w:rPr>
        <w:t xml:space="preserve"> </w:t>
      </w:r>
      <w:r w:rsidR="009352C5">
        <w:rPr>
          <w:color w:val="auto"/>
        </w:rPr>
        <w:t>consultant</w:t>
      </w:r>
      <w:r w:rsidRPr="006D7DDE">
        <w:rPr>
          <w:color w:val="auto"/>
        </w:rPr>
        <w:t xml:space="preserve"> will work under the direct supervision of </w:t>
      </w:r>
      <w:r w:rsidR="00A6279B" w:rsidRPr="00A6279B">
        <w:rPr>
          <w:color w:val="auto"/>
        </w:rPr>
        <w:t xml:space="preserve">Social and </w:t>
      </w:r>
      <w:proofErr w:type="spellStart"/>
      <w:r w:rsidR="00A6279B" w:rsidRPr="00A6279B">
        <w:rPr>
          <w:color w:val="auto"/>
        </w:rPr>
        <w:t>Behaviour</w:t>
      </w:r>
      <w:proofErr w:type="spellEnd"/>
      <w:r w:rsidR="00A6279B" w:rsidRPr="00A6279B">
        <w:rPr>
          <w:color w:val="auto"/>
        </w:rPr>
        <w:t xml:space="preserve"> Change </w:t>
      </w:r>
      <w:r w:rsidR="00B32C03">
        <w:rPr>
          <w:color w:val="auto"/>
        </w:rPr>
        <w:t>Officer</w:t>
      </w:r>
      <w:r w:rsidR="00B32C03" w:rsidRPr="006D7DDE">
        <w:rPr>
          <w:color w:val="auto"/>
        </w:rPr>
        <w:t xml:space="preserve"> </w:t>
      </w:r>
      <w:r w:rsidRPr="006D7DDE">
        <w:rPr>
          <w:color w:val="auto"/>
        </w:rPr>
        <w:t>and in close collaboration with</w:t>
      </w:r>
      <w:r w:rsidR="004370D0">
        <w:rPr>
          <w:color w:val="auto"/>
        </w:rPr>
        <w:t xml:space="preserve"> </w:t>
      </w:r>
      <w:r w:rsidR="002D74EB">
        <w:rPr>
          <w:color w:val="auto"/>
        </w:rPr>
        <w:t xml:space="preserve">Health Information Centre of the </w:t>
      </w:r>
      <w:r w:rsidR="004370D0">
        <w:rPr>
          <w:color w:val="auto"/>
        </w:rPr>
        <w:t>Ministry of Health and Medical Industry</w:t>
      </w:r>
      <w:r w:rsidR="002D74EB">
        <w:rPr>
          <w:color w:val="auto"/>
        </w:rPr>
        <w:t xml:space="preserve"> </w:t>
      </w:r>
      <w:r w:rsidR="004370D0">
        <w:rPr>
          <w:color w:val="auto"/>
        </w:rPr>
        <w:t xml:space="preserve">and National Consultant of </w:t>
      </w:r>
      <w:r w:rsidR="009352C5">
        <w:rPr>
          <w:color w:val="auto"/>
        </w:rPr>
        <w:t xml:space="preserve">UNICEF </w:t>
      </w:r>
      <w:r w:rsidR="00B32C03">
        <w:rPr>
          <w:color w:val="auto"/>
        </w:rPr>
        <w:t xml:space="preserve">Turkmenistan </w:t>
      </w:r>
      <w:r w:rsidR="009352C5">
        <w:rPr>
          <w:color w:val="auto"/>
        </w:rPr>
        <w:t>country office</w:t>
      </w:r>
      <w:r w:rsidRPr="006D7DDE">
        <w:rPr>
          <w:color w:val="auto"/>
        </w:rPr>
        <w:t>.</w:t>
      </w:r>
      <w:r w:rsidR="002D74EB">
        <w:rPr>
          <w:color w:val="auto"/>
        </w:rPr>
        <w:t xml:space="preserve"> </w:t>
      </w:r>
    </w:p>
    <w:p w14:paraId="402D0168" w14:textId="77777777" w:rsidR="006D7DDE" w:rsidRDefault="006D7DDE" w:rsidP="00082525">
      <w:pPr>
        <w:jc w:val="both"/>
        <w:rPr>
          <w:b/>
          <w:bCs/>
          <w:color w:val="auto"/>
        </w:rPr>
      </w:pPr>
    </w:p>
    <w:p w14:paraId="7C041EB9" w14:textId="3F52FF4E" w:rsidR="00591342" w:rsidRPr="00591342" w:rsidRDefault="00591342" w:rsidP="00082525">
      <w:pPr>
        <w:jc w:val="both"/>
        <w:rPr>
          <w:b/>
          <w:bCs/>
          <w:color w:val="auto"/>
          <w:lang w:val="en-GB"/>
        </w:rPr>
      </w:pPr>
      <w:r w:rsidRPr="00591342">
        <w:rPr>
          <w:b/>
          <w:bCs/>
          <w:color w:val="auto"/>
          <w:lang w:val="en-GB"/>
        </w:rPr>
        <w:t>Payment</w:t>
      </w:r>
    </w:p>
    <w:p w14:paraId="451B8988" w14:textId="773A7126" w:rsidR="00591342" w:rsidRPr="00082525" w:rsidRDefault="004370D0" w:rsidP="00082525">
      <w:pPr>
        <w:jc w:val="both"/>
        <w:rPr>
          <w:color w:val="auto"/>
          <w:lang w:val="en-GB"/>
        </w:rPr>
      </w:pPr>
      <w:r>
        <w:rPr>
          <w:color w:val="auto"/>
          <w:lang w:val="en-GB"/>
        </w:rPr>
        <w:t>P</w:t>
      </w:r>
      <w:r w:rsidR="00591342" w:rsidRPr="00082525">
        <w:rPr>
          <w:color w:val="auto"/>
          <w:lang w:val="en-GB"/>
        </w:rPr>
        <w:t xml:space="preserve">ayments will be made based on successful submission of deliverables and successful execution of assigned tasks as agreed with the supervisor </w:t>
      </w:r>
      <w:r>
        <w:rPr>
          <w:color w:val="auto"/>
          <w:lang w:val="en-GB"/>
        </w:rPr>
        <w:t xml:space="preserve">in accordance with this </w:t>
      </w:r>
      <w:proofErr w:type="spellStart"/>
      <w:r>
        <w:rPr>
          <w:color w:val="auto"/>
          <w:lang w:val="en-GB"/>
        </w:rPr>
        <w:t>ToR</w:t>
      </w:r>
      <w:proofErr w:type="spellEnd"/>
      <w:r w:rsidR="00591342" w:rsidRPr="00082525">
        <w:rPr>
          <w:color w:val="auto"/>
          <w:lang w:val="en-GB"/>
        </w:rPr>
        <w:t>.</w:t>
      </w:r>
      <w:r>
        <w:rPr>
          <w:color w:val="auto"/>
          <w:lang w:val="en-GB"/>
        </w:rPr>
        <w:t xml:space="preserve"> Upon successful submission of deliverable 1 – 30%, deliverable 2 – 40% and deliverable 3 – 30% will be paid by UNICEF country of</w:t>
      </w:r>
      <w:r w:rsidR="00896712">
        <w:rPr>
          <w:color w:val="auto"/>
          <w:lang w:val="en-GB"/>
        </w:rPr>
        <w:t xml:space="preserve">fice from total fee. </w:t>
      </w:r>
    </w:p>
    <w:p w14:paraId="4C77F6A7" w14:textId="77777777" w:rsidR="00591342" w:rsidRPr="00082525" w:rsidRDefault="00591342" w:rsidP="00082525">
      <w:pPr>
        <w:jc w:val="both"/>
        <w:rPr>
          <w:b/>
          <w:bCs/>
          <w:color w:val="auto"/>
          <w:lang w:val="en-GB"/>
        </w:rPr>
      </w:pPr>
    </w:p>
    <w:p w14:paraId="3F074F56" w14:textId="603B7F44" w:rsidR="00591342" w:rsidRPr="00466418" w:rsidRDefault="00EF6D31" w:rsidP="00082525">
      <w:pPr>
        <w:jc w:val="both"/>
        <w:rPr>
          <w:b/>
          <w:bCs/>
          <w:color w:val="auto"/>
          <w:lang w:val="en-GB"/>
        </w:rPr>
      </w:pPr>
      <w:r w:rsidRPr="00466418">
        <w:rPr>
          <w:b/>
          <w:bCs/>
          <w:color w:val="auto"/>
          <w:lang w:val="en-GB"/>
        </w:rPr>
        <w:t>Internat</w:t>
      </w:r>
      <w:r w:rsidR="00354CED" w:rsidRPr="00466418">
        <w:rPr>
          <w:b/>
          <w:bCs/>
          <w:color w:val="auto"/>
          <w:lang w:val="en-GB"/>
        </w:rPr>
        <w:t>ional and local t</w:t>
      </w:r>
      <w:r w:rsidR="00591342" w:rsidRPr="00466418">
        <w:rPr>
          <w:b/>
          <w:bCs/>
          <w:color w:val="auto"/>
          <w:lang w:val="en-GB"/>
        </w:rPr>
        <w:t>ravel</w:t>
      </w:r>
    </w:p>
    <w:p w14:paraId="2B306A95" w14:textId="6FEC58D4" w:rsidR="00CA1084" w:rsidRPr="00466418" w:rsidRDefault="007A5779" w:rsidP="00082525">
      <w:pPr>
        <w:jc w:val="both"/>
        <w:rPr>
          <w:color w:val="auto"/>
          <w:lang w:val="en-GB"/>
        </w:rPr>
      </w:pPr>
      <w:r w:rsidRPr="00466418">
        <w:rPr>
          <w:color w:val="auto"/>
        </w:rPr>
        <w:t xml:space="preserve">No travels </w:t>
      </w:r>
      <w:r w:rsidR="00BB109A" w:rsidRPr="00466418">
        <w:rPr>
          <w:color w:val="auto"/>
        </w:rPr>
        <w:t xml:space="preserve">are expected </w:t>
      </w:r>
      <w:r w:rsidR="00624DDD" w:rsidRPr="00466418">
        <w:rPr>
          <w:color w:val="auto"/>
        </w:rPr>
        <w:t>in duration of this assignment</w:t>
      </w:r>
      <w:r w:rsidR="00BB109A" w:rsidRPr="00466418">
        <w:rPr>
          <w:color w:val="auto"/>
        </w:rPr>
        <w:t>.</w:t>
      </w:r>
    </w:p>
    <w:p w14:paraId="55092CB2" w14:textId="77777777" w:rsidR="00AF604B" w:rsidRPr="0057499F" w:rsidRDefault="00AF604B" w:rsidP="00082525">
      <w:pPr>
        <w:jc w:val="both"/>
        <w:rPr>
          <w:b/>
          <w:bCs/>
          <w:color w:val="auto"/>
        </w:rPr>
      </w:pPr>
    </w:p>
    <w:p w14:paraId="133FCC58" w14:textId="199BDBFC" w:rsidR="006D7DDE" w:rsidRPr="006D7DDE" w:rsidRDefault="006D7DDE" w:rsidP="00082525">
      <w:pPr>
        <w:jc w:val="both"/>
        <w:rPr>
          <w:b/>
          <w:bCs/>
          <w:color w:val="auto"/>
        </w:rPr>
      </w:pPr>
      <w:r w:rsidRPr="006D7DDE">
        <w:rPr>
          <w:b/>
          <w:bCs/>
          <w:color w:val="auto"/>
        </w:rPr>
        <w:t>Work arrangements</w:t>
      </w:r>
    </w:p>
    <w:p w14:paraId="118F09CA" w14:textId="179DBECE" w:rsidR="006D7DDE" w:rsidRDefault="006D7DDE" w:rsidP="00082525">
      <w:pPr>
        <w:jc w:val="both"/>
        <w:rPr>
          <w:color w:val="auto"/>
          <w:lang w:val="en-GB"/>
        </w:rPr>
      </w:pPr>
      <w:r w:rsidRPr="006D7DDE">
        <w:rPr>
          <w:color w:val="auto"/>
          <w:lang w:val="en-GB"/>
        </w:rPr>
        <w:t xml:space="preserve">Day to day supervision and guidance will be provided by UNICEF Turkmenistan </w:t>
      </w:r>
      <w:r w:rsidR="00354CED" w:rsidRPr="00354CED">
        <w:rPr>
          <w:bCs/>
          <w:color w:val="auto"/>
        </w:rPr>
        <w:t>Social and Behavior Change Officer</w:t>
      </w:r>
      <w:r w:rsidRPr="006D7DDE">
        <w:rPr>
          <w:color w:val="auto"/>
          <w:lang w:val="en-GB"/>
        </w:rPr>
        <w:t xml:space="preserve">. UNICEF will regularly communicate with the </w:t>
      </w:r>
      <w:r w:rsidR="00466418">
        <w:rPr>
          <w:color w:val="auto"/>
          <w:lang w:val="en-GB"/>
        </w:rPr>
        <w:t>N</w:t>
      </w:r>
      <w:r w:rsidR="00354CED">
        <w:rPr>
          <w:color w:val="auto"/>
          <w:lang w:val="en-GB"/>
        </w:rPr>
        <w:t xml:space="preserve">ational </w:t>
      </w:r>
      <w:r w:rsidRPr="006D7DDE">
        <w:rPr>
          <w:color w:val="auto"/>
          <w:lang w:val="en-GB"/>
        </w:rPr>
        <w:t xml:space="preserve">Consultant and provide guidance </w:t>
      </w:r>
      <w:r w:rsidR="009352C5">
        <w:rPr>
          <w:color w:val="auto"/>
          <w:lang w:val="en-GB"/>
        </w:rPr>
        <w:t xml:space="preserve">and </w:t>
      </w:r>
      <w:r w:rsidRPr="006D7DDE">
        <w:rPr>
          <w:color w:val="auto"/>
          <w:lang w:val="en-GB"/>
        </w:rPr>
        <w:t>feedback from national partners</w:t>
      </w:r>
      <w:r w:rsidR="009352C5">
        <w:rPr>
          <w:color w:val="auto"/>
          <w:lang w:val="en-GB"/>
        </w:rPr>
        <w:t xml:space="preserve"> as well as </w:t>
      </w:r>
      <w:r w:rsidRPr="006D7DDE">
        <w:rPr>
          <w:color w:val="auto"/>
          <w:lang w:val="en-GB"/>
        </w:rPr>
        <w:t xml:space="preserve">all other necessary support to achieve objectives of the consultancy. </w:t>
      </w:r>
      <w:r w:rsidR="00354CED">
        <w:rPr>
          <w:color w:val="auto"/>
          <w:lang w:val="en-GB"/>
        </w:rPr>
        <w:t xml:space="preserve"> </w:t>
      </w:r>
    </w:p>
    <w:p w14:paraId="0263B570" w14:textId="46342868" w:rsidR="006D7DDE" w:rsidRDefault="006D7DDE" w:rsidP="00082525">
      <w:pPr>
        <w:jc w:val="both"/>
        <w:rPr>
          <w:color w:val="auto"/>
          <w:lang w:val="en-GB"/>
        </w:rPr>
      </w:pPr>
    </w:p>
    <w:p w14:paraId="2444B560" w14:textId="77777777" w:rsidR="006D7DDE" w:rsidRPr="006D7DDE" w:rsidRDefault="006D7DDE" w:rsidP="00082525">
      <w:pPr>
        <w:jc w:val="both"/>
        <w:rPr>
          <w:b/>
          <w:color w:val="auto"/>
        </w:rPr>
      </w:pPr>
      <w:r w:rsidRPr="006D7DDE">
        <w:rPr>
          <w:b/>
          <w:color w:val="auto"/>
        </w:rPr>
        <w:t>General Terms and Conditions</w:t>
      </w:r>
    </w:p>
    <w:p w14:paraId="7AEED8B2" w14:textId="77777777" w:rsidR="006D7DDE" w:rsidRPr="006D7DDE" w:rsidRDefault="006D7DDE" w:rsidP="00082525">
      <w:pPr>
        <w:jc w:val="both"/>
        <w:rPr>
          <w:color w:val="auto"/>
        </w:rPr>
      </w:pPr>
      <w:r w:rsidRPr="006D7DDE">
        <w:rPr>
          <w:color w:val="auto"/>
        </w:rPr>
        <w:t xml:space="preserve">UNICEF’s general terms and conditions will apply to the contract awarded to the vendor.  Please note that, in the evaluation of the technical merits of each proposal, UNICEF will take into consideration any proposed amendments to the UNICEF General Terms and Conditions. Proposed amendments to the UNICEF general terms and conditions may negatively affect the evaluation of the technical merits of the proposal.   </w:t>
      </w:r>
    </w:p>
    <w:p w14:paraId="06E24B54" w14:textId="77777777" w:rsidR="0024567C" w:rsidRDefault="0024567C" w:rsidP="00082525">
      <w:pPr>
        <w:jc w:val="both"/>
        <w:rPr>
          <w:color w:val="auto"/>
        </w:rPr>
      </w:pPr>
    </w:p>
    <w:p w14:paraId="37FC270A" w14:textId="428CB15C" w:rsidR="006D7DDE" w:rsidRPr="006D7DDE" w:rsidRDefault="006D7DDE" w:rsidP="00082525">
      <w:pPr>
        <w:jc w:val="both"/>
        <w:rPr>
          <w:color w:val="auto"/>
        </w:rPr>
      </w:pPr>
      <w:r w:rsidRPr="006D7DDE">
        <w:rPr>
          <w:color w:val="auto"/>
        </w:rPr>
        <w:t xml:space="preserve">UNICEF retains the right to patent and intellectual rights, as well as copyright and other similar intellectual property rights for any discoveries, inventions, products or works arising specifically from the implementation of the project in cooperation with UNICEF. The right to reproduce or use materials shall be transferred with a written approval of UNICEF based on the consideration of each separate case. Consultant should always refer to UNICEF Turkmenistan support in developing the materials when publishing the results of the </w:t>
      </w:r>
      <w:r w:rsidR="002D74EB">
        <w:rPr>
          <w:color w:val="auto"/>
        </w:rPr>
        <w:t>works being</w:t>
      </w:r>
      <w:r w:rsidRPr="006D7DDE">
        <w:rPr>
          <w:color w:val="auto"/>
        </w:rPr>
        <w:t xml:space="preserve"> conducted while in Turkmenistan in academic journals, </w:t>
      </w:r>
      <w:proofErr w:type="gramStart"/>
      <w:r w:rsidRPr="006D7DDE">
        <w:rPr>
          <w:color w:val="auto"/>
        </w:rPr>
        <w:t>books</w:t>
      </w:r>
      <w:proofErr w:type="gramEnd"/>
      <w:r w:rsidRPr="006D7DDE">
        <w:rPr>
          <w:color w:val="auto"/>
        </w:rPr>
        <w:t xml:space="preserve"> and websites.</w:t>
      </w:r>
    </w:p>
    <w:tbl>
      <w:tblPr>
        <w:tblStyle w:val="TableGrid"/>
        <w:tblpPr w:leftFromText="180" w:rightFromText="180" w:vertAnchor="text" w:tblpY="829"/>
        <w:tblW w:w="9895" w:type="dxa"/>
        <w:tblLook w:val="04A0" w:firstRow="1" w:lastRow="0" w:firstColumn="1" w:lastColumn="0" w:noHBand="0" w:noVBand="1"/>
      </w:tblPr>
      <w:tblGrid>
        <w:gridCol w:w="2286"/>
        <w:gridCol w:w="7609"/>
      </w:tblGrid>
      <w:tr w:rsidR="008875F9" w:rsidRPr="00D93520" w14:paraId="3F048815" w14:textId="77777777" w:rsidTr="008875F9">
        <w:trPr>
          <w:trHeight w:val="1107"/>
        </w:trPr>
        <w:tc>
          <w:tcPr>
            <w:tcW w:w="2286" w:type="dxa"/>
            <w:tcBorders>
              <w:top w:val="single" w:sz="4" w:space="0" w:color="auto"/>
              <w:left w:val="single" w:sz="4" w:space="0" w:color="auto"/>
              <w:bottom w:val="single" w:sz="4" w:space="0" w:color="auto"/>
              <w:right w:val="single" w:sz="4" w:space="0" w:color="auto"/>
            </w:tcBorders>
          </w:tcPr>
          <w:p w14:paraId="7DCFB7A1" w14:textId="77777777" w:rsidR="008875F9" w:rsidRPr="008C503D" w:rsidRDefault="008875F9" w:rsidP="008875F9">
            <w:pPr>
              <w:spacing w:line="240" w:lineRule="auto"/>
              <w:rPr>
                <w:rFonts w:asciiTheme="minorHAnsi" w:eastAsia="Arial Unicode MS" w:hAnsiTheme="minorHAnsi" w:cstheme="minorHAnsi"/>
                <w:b/>
                <w:color w:val="auto"/>
                <w:lang w:val="en-AU"/>
              </w:rPr>
            </w:pPr>
            <w:r w:rsidRPr="008C503D">
              <w:rPr>
                <w:rFonts w:asciiTheme="minorHAnsi" w:eastAsia="Arial Unicode MS" w:hAnsiTheme="minorHAnsi" w:cstheme="minorHAnsi"/>
                <w:b/>
                <w:color w:val="auto"/>
                <w:lang w:val="en-AU"/>
              </w:rPr>
              <w:t>Minimum Qualifications required:</w:t>
            </w:r>
          </w:p>
          <w:p w14:paraId="24C4A62F" w14:textId="77777777" w:rsidR="008875F9" w:rsidRPr="008C503D" w:rsidRDefault="008875F9" w:rsidP="008875F9">
            <w:pPr>
              <w:spacing w:line="240" w:lineRule="auto"/>
              <w:rPr>
                <w:rFonts w:asciiTheme="minorHAnsi" w:hAnsiTheme="minorHAnsi" w:cstheme="minorHAnsi"/>
                <w:color w:val="auto"/>
              </w:rPr>
            </w:pPr>
          </w:p>
          <w:p w14:paraId="272814F2" w14:textId="30B16D4F" w:rsidR="008875F9" w:rsidRPr="008C503D" w:rsidRDefault="00354CED" w:rsidP="008875F9">
            <w:pPr>
              <w:spacing w:before="60"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fldChar w:fldCharType="begin">
                <w:ffData>
                  <w:name w:val="Check6"/>
                  <w:enabled/>
                  <w:calcOnExit w:val="0"/>
                  <w:checkBox>
                    <w:sizeAuto/>
                    <w:default w:val="0"/>
                  </w:checkBox>
                </w:ffData>
              </w:fldChar>
            </w:r>
            <w:bookmarkStart w:id="3" w:name="Check6"/>
            <w:r>
              <w:rPr>
                <w:rFonts w:asciiTheme="minorHAnsi" w:eastAsia="Arial Unicode MS" w:hAnsiTheme="minorHAnsi" w:cstheme="minorHAnsi"/>
                <w:color w:val="auto"/>
                <w:lang w:val="en-AU"/>
              </w:rPr>
              <w:instrText xml:space="preserve"> FORMCHECKBOX </w:instrText>
            </w:r>
            <w:r w:rsidR="00DF2393">
              <w:rPr>
                <w:rFonts w:asciiTheme="minorHAnsi" w:eastAsia="Arial Unicode MS" w:hAnsiTheme="minorHAnsi" w:cstheme="minorHAnsi"/>
                <w:color w:val="auto"/>
                <w:lang w:val="en-AU"/>
              </w:rPr>
            </w:r>
            <w:r w:rsidR="00DF2393">
              <w:rPr>
                <w:rFonts w:asciiTheme="minorHAnsi" w:eastAsia="Arial Unicode MS" w:hAnsiTheme="minorHAnsi" w:cstheme="minorHAnsi"/>
                <w:color w:val="auto"/>
                <w:lang w:val="en-AU"/>
              </w:rPr>
              <w:fldChar w:fldCharType="separate"/>
            </w:r>
            <w:r>
              <w:rPr>
                <w:rFonts w:asciiTheme="minorHAnsi" w:eastAsia="Arial Unicode MS" w:hAnsiTheme="minorHAnsi" w:cstheme="minorHAnsi"/>
                <w:color w:val="auto"/>
                <w:lang w:val="en-AU"/>
              </w:rPr>
              <w:fldChar w:fldCharType="end"/>
            </w:r>
            <w:bookmarkEnd w:id="3"/>
            <w:r w:rsidR="008875F9" w:rsidRPr="008C503D">
              <w:rPr>
                <w:rFonts w:asciiTheme="minorHAnsi" w:eastAsia="Arial Unicode MS" w:hAnsiTheme="minorHAnsi" w:cstheme="minorHAnsi"/>
                <w:color w:val="auto"/>
                <w:lang w:val="en-AU"/>
              </w:rPr>
              <w:t xml:space="preserve"> Bachelors   </w:t>
            </w:r>
            <w:r w:rsidR="00466418">
              <w:rPr>
                <w:rFonts w:asciiTheme="minorHAnsi" w:eastAsia="Arial Unicode MS" w:hAnsiTheme="minorHAnsi" w:cstheme="minorHAnsi"/>
                <w:color w:val="auto"/>
                <w:lang w:val="en-AU"/>
              </w:rPr>
              <w:fldChar w:fldCharType="begin">
                <w:ffData>
                  <w:name w:val="Check7"/>
                  <w:enabled/>
                  <w:calcOnExit w:val="0"/>
                  <w:checkBox>
                    <w:sizeAuto/>
                    <w:default w:val="1"/>
                  </w:checkBox>
                </w:ffData>
              </w:fldChar>
            </w:r>
            <w:bookmarkStart w:id="4" w:name="Check7"/>
            <w:r w:rsidR="00466418">
              <w:rPr>
                <w:rFonts w:asciiTheme="minorHAnsi" w:eastAsia="Arial Unicode MS" w:hAnsiTheme="minorHAnsi" w:cstheme="minorHAnsi"/>
                <w:color w:val="auto"/>
                <w:lang w:val="en-AU"/>
              </w:rPr>
              <w:instrText xml:space="preserve"> FORMCHECKBOX </w:instrText>
            </w:r>
            <w:r w:rsidR="00DF2393">
              <w:rPr>
                <w:rFonts w:asciiTheme="minorHAnsi" w:eastAsia="Arial Unicode MS" w:hAnsiTheme="minorHAnsi" w:cstheme="minorHAnsi"/>
                <w:color w:val="auto"/>
                <w:lang w:val="en-AU"/>
              </w:rPr>
            </w:r>
            <w:r w:rsidR="00DF2393">
              <w:rPr>
                <w:rFonts w:asciiTheme="minorHAnsi" w:eastAsia="Arial Unicode MS" w:hAnsiTheme="minorHAnsi" w:cstheme="minorHAnsi"/>
                <w:color w:val="auto"/>
                <w:lang w:val="en-AU"/>
              </w:rPr>
              <w:fldChar w:fldCharType="separate"/>
            </w:r>
            <w:r w:rsidR="00466418">
              <w:rPr>
                <w:rFonts w:asciiTheme="minorHAnsi" w:eastAsia="Arial Unicode MS" w:hAnsiTheme="minorHAnsi" w:cstheme="minorHAnsi"/>
                <w:color w:val="auto"/>
                <w:lang w:val="en-AU"/>
              </w:rPr>
              <w:fldChar w:fldCharType="end"/>
            </w:r>
            <w:bookmarkEnd w:id="4"/>
            <w:r w:rsidR="008875F9" w:rsidRPr="008C503D">
              <w:rPr>
                <w:rFonts w:asciiTheme="minorHAnsi" w:eastAsia="Arial Unicode MS" w:hAnsiTheme="minorHAnsi" w:cstheme="minorHAnsi"/>
                <w:color w:val="auto"/>
                <w:lang w:val="en-AU"/>
              </w:rPr>
              <w:t xml:space="preserve"> Masters   </w:t>
            </w:r>
            <w:r w:rsidR="00466418">
              <w:rPr>
                <w:rFonts w:asciiTheme="minorHAnsi" w:eastAsia="Arial Unicode MS" w:hAnsiTheme="minorHAnsi" w:cstheme="minorHAnsi"/>
                <w:color w:val="auto"/>
                <w:lang w:val="en-AU"/>
              </w:rPr>
              <w:fldChar w:fldCharType="begin">
                <w:ffData>
                  <w:name w:val="Check8"/>
                  <w:enabled/>
                  <w:calcOnExit w:val="0"/>
                  <w:checkBox>
                    <w:sizeAuto/>
                    <w:default w:val="0"/>
                  </w:checkBox>
                </w:ffData>
              </w:fldChar>
            </w:r>
            <w:bookmarkStart w:id="5" w:name="Check8"/>
            <w:r w:rsidR="00466418">
              <w:rPr>
                <w:rFonts w:asciiTheme="minorHAnsi" w:eastAsia="Arial Unicode MS" w:hAnsiTheme="minorHAnsi" w:cstheme="minorHAnsi"/>
                <w:color w:val="auto"/>
                <w:lang w:val="en-AU"/>
              </w:rPr>
              <w:instrText xml:space="preserve"> FORMCHECKBOX </w:instrText>
            </w:r>
            <w:r w:rsidR="00DF2393">
              <w:rPr>
                <w:rFonts w:asciiTheme="minorHAnsi" w:eastAsia="Arial Unicode MS" w:hAnsiTheme="minorHAnsi" w:cstheme="minorHAnsi"/>
                <w:color w:val="auto"/>
                <w:lang w:val="en-AU"/>
              </w:rPr>
            </w:r>
            <w:r w:rsidR="00DF2393">
              <w:rPr>
                <w:rFonts w:asciiTheme="minorHAnsi" w:eastAsia="Arial Unicode MS" w:hAnsiTheme="minorHAnsi" w:cstheme="minorHAnsi"/>
                <w:color w:val="auto"/>
                <w:lang w:val="en-AU"/>
              </w:rPr>
              <w:fldChar w:fldCharType="separate"/>
            </w:r>
            <w:r w:rsidR="00466418">
              <w:rPr>
                <w:rFonts w:asciiTheme="minorHAnsi" w:eastAsia="Arial Unicode MS" w:hAnsiTheme="minorHAnsi" w:cstheme="minorHAnsi"/>
                <w:color w:val="auto"/>
                <w:lang w:val="en-AU"/>
              </w:rPr>
              <w:fldChar w:fldCharType="end"/>
            </w:r>
            <w:bookmarkEnd w:id="5"/>
            <w:r w:rsidR="008875F9" w:rsidRPr="008C503D">
              <w:rPr>
                <w:rFonts w:asciiTheme="minorHAnsi" w:eastAsia="Arial Unicode MS" w:hAnsiTheme="minorHAnsi" w:cstheme="minorHAnsi"/>
                <w:color w:val="auto"/>
                <w:lang w:val="en-AU"/>
              </w:rPr>
              <w:t xml:space="preserve"> PhD   </w:t>
            </w:r>
            <w:r w:rsidR="008875F9" w:rsidRPr="008C503D">
              <w:rPr>
                <w:rFonts w:asciiTheme="minorHAnsi" w:eastAsia="Arial Unicode MS" w:hAnsiTheme="minorHAnsi" w:cstheme="minorHAnsi"/>
                <w:color w:val="auto"/>
                <w:lang w:val="en-AU"/>
              </w:rPr>
              <w:fldChar w:fldCharType="begin">
                <w:ffData>
                  <w:name w:val=""/>
                  <w:enabled/>
                  <w:calcOnExit w:val="0"/>
                  <w:checkBox>
                    <w:sizeAuto/>
                    <w:default w:val="0"/>
                  </w:checkBox>
                </w:ffData>
              </w:fldChar>
            </w:r>
            <w:r w:rsidR="008875F9" w:rsidRPr="008C503D">
              <w:rPr>
                <w:rFonts w:asciiTheme="minorHAnsi" w:eastAsia="Arial Unicode MS" w:hAnsiTheme="minorHAnsi" w:cstheme="minorHAnsi"/>
                <w:color w:val="auto"/>
                <w:lang w:val="en-AU"/>
              </w:rPr>
              <w:instrText xml:space="preserve"> FORMCHECKBOX </w:instrText>
            </w:r>
            <w:r w:rsidR="00DF2393">
              <w:rPr>
                <w:rFonts w:asciiTheme="minorHAnsi" w:eastAsia="Arial Unicode MS" w:hAnsiTheme="minorHAnsi" w:cstheme="minorHAnsi"/>
                <w:color w:val="auto"/>
                <w:lang w:val="en-AU"/>
              </w:rPr>
            </w:r>
            <w:r w:rsidR="00DF2393">
              <w:rPr>
                <w:rFonts w:asciiTheme="minorHAnsi" w:eastAsia="Arial Unicode MS" w:hAnsiTheme="minorHAnsi" w:cstheme="minorHAnsi"/>
                <w:color w:val="auto"/>
                <w:lang w:val="en-AU"/>
              </w:rPr>
              <w:fldChar w:fldCharType="separate"/>
            </w:r>
            <w:r w:rsidR="008875F9" w:rsidRPr="008C503D">
              <w:rPr>
                <w:rFonts w:asciiTheme="minorHAnsi" w:eastAsia="Arial Unicode MS" w:hAnsiTheme="minorHAnsi" w:cstheme="minorHAnsi"/>
                <w:color w:val="auto"/>
                <w:lang w:val="en-AU"/>
              </w:rPr>
              <w:fldChar w:fldCharType="end"/>
            </w:r>
            <w:r w:rsidR="008875F9" w:rsidRPr="008C503D">
              <w:rPr>
                <w:rFonts w:asciiTheme="minorHAnsi" w:eastAsia="Arial Unicode MS" w:hAnsiTheme="minorHAnsi" w:cstheme="minorHAnsi"/>
                <w:color w:val="auto"/>
                <w:lang w:val="en-AU"/>
              </w:rPr>
              <w:t xml:space="preserve"> Other  </w:t>
            </w:r>
          </w:p>
          <w:p w14:paraId="47B84069" w14:textId="77777777" w:rsidR="008875F9" w:rsidRPr="008C503D" w:rsidRDefault="008875F9" w:rsidP="008875F9">
            <w:pPr>
              <w:spacing w:before="60" w:line="240" w:lineRule="auto"/>
              <w:rPr>
                <w:rFonts w:asciiTheme="minorHAnsi" w:eastAsia="Arial Unicode MS" w:hAnsiTheme="minorHAnsi" w:cstheme="minorHAnsi"/>
                <w:color w:val="auto"/>
                <w:lang w:val="en-AU"/>
              </w:rPr>
            </w:pPr>
          </w:p>
          <w:p w14:paraId="028BD457" w14:textId="77777777" w:rsidR="008875F9" w:rsidRPr="008C503D" w:rsidRDefault="008875F9" w:rsidP="008875F9">
            <w:pPr>
              <w:spacing w:line="240" w:lineRule="auto"/>
              <w:rPr>
                <w:rFonts w:asciiTheme="minorHAnsi" w:hAnsiTheme="minorHAnsi" w:cstheme="minorHAnsi"/>
                <w:color w:val="auto"/>
              </w:rPr>
            </w:pPr>
          </w:p>
        </w:tc>
        <w:tc>
          <w:tcPr>
            <w:tcW w:w="7609" w:type="dxa"/>
            <w:tcBorders>
              <w:top w:val="single" w:sz="4" w:space="0" w:color="auto"/>
              <w:left w:val="single" w:sz="4" w:space="0" w:color="auto"/>
              <w:bottom w:val="single" w:sz="4" w:space="0" w:color="auto"/>
              <w:right w:val="single" w:sz="4" w:space="0" w:color="auto"/>
            </w:tcBorders>
          </w:tcPr>
          <w:p w14:paraId="495DB910" w14:textId="69AD4108" w:rsidR="008875F9" w:rsidRDefault="008875F9" w:rsidP="008875F9">
            <w:pPr>
              <w:spacing w:line="240" w:lineRule="auto"/>
              <w:rPr>
                <w:rFonts w:asciiTheme="minorHAnsi" w:eastAsia="Arial Unicode MS" w:hAnsiTheme="minorHAnsi" w:cstheme="minorHAnsi"/>
                <w:b/>
                <w:color w:val="auto"/>
                <w:lang w:val="en-AU"/>
              </w:rPr>
            </w:pPr>
            <w:r w:rsidRPr="008C503D">
              <w:rPr>
                <w:rFonts w:asciiTheme="minorHAnsi" w:eastAsia="Arial Unicode MS" w:hAnsiTheme="minorHAnsi" w:cstheme="minorHAnsi"/>
                <w:b/>
                <w:color w:val="auto"/>
                <w:lang w:val="en-AU"/>
              </w:rPr>
              <w:t>Knowledge/Expertise/Skills required:</w:t>
            </w:r>
          </w:p>
          <w:p w14:paraId="0AEB055A" w14:textId="77777777" w:rsidR="005A7223" w:rsidRDefault="005A7223" w:rsidP="005A7223">
            <w:pPr>
              <w:rPr>
                <w:rFonts w:ascii="Calibri" w:eastAsiaTheme="minorHAnsi" w:hAnsi="Calibri"/>
                <w:color w:val="auto"/>
              </w:rPr>
            </w:pPr>
            <w:r>
              <w:t xml:space="preserve">Education: </w:t>
            </w:r>
          </w:p>
          <w:p w14:paraId="75390C55" w14:textId="64AE4B81" w:rsidR="005A7223" w:rsidRDefault="00354CED" w:rsidP="005A7223">
            <w:r>
              <w:t xml:space="preserve">Advanced </w:t>
            </w:r>
            <w:r w:rsidR="005A7223">
              <w:t xml:space="preserve">University degree in one of the following fields is required: </w:t>
            </w:r>
          </w:p>
          <w:p w14:paraId="289B1363" w14:textId="4147E6AC" w:rsidR="005A7223" w:rsidRDefault="00BC6A86" w:rsidP="005A7223">
            <w:r>
              <w:t xml:space="preserve">System Engineering, IT </w:t>
            </w:r>
            <w:r w:rsidR="00D01167">
              <w:t>Engineering</w:t>
            </w:r>
            <w:r>
              <w:t xml:space="preserve">, TV </w:t>
            </w:r>
            <w:r w:rsidR="005A7223">
              <w:t xml:space="preserve">and </w:t>
            </w:r>
            <w:r w:rsidR="00D01167">
              <w:t xml:space="preserve">Radio Communications or </w:t>
            </w:r>
            <w:r w:rsidR="005A7223">
              <w:t xml:space="preserve">other related fields. </w:t>
            </w:r>
          </w:p>
          <w:p w14:paraId="60439634" w14:textId="77777777" w:rsidR="005A7223" w:rsidRDefault="005A7223" w:rsidP="005A7223"/>
          <w:p w14:paraId="1BE62F8B" w14:textId="77777777" w:rsidR="005A7223" w:rsidRDefault="005A7223" w:rsidP="005A7223">
            <w:r>
              <w:t xml:space="preserve">Experience: </w:t>
            </w:r>
          </w:p>
          <w:p w14:paraId="28C8F3A9" w14:textId="5E31E84B" w:rsidR="00993BD5" w:rsidRPr="00993BD5" w:rsidRDefault="005A7223" w:rsidP="00366D55">
            <w:pPr>
              <w:pStyle w:val="ListParagraph"/>
              <w:numPr>
                <w:ilvl w:val="0"/>
                <w:numId w:val="11"/>
              </w:numPr>
            </w:pPr>
            <w:r>
              <w:t xml:space="preserve">A minimum of eight years of professional experience in one or more of the following areas is required: </w:t>
            </w:r>
            <w:r w:rsidR="00D01167">
              <w:t xml:space="preserve">TV and Radio studio designing, establishing, running, System Engineering, IT </w:t>
            </w:r>
            <w:proofErr w:type="gramStart"/>
            <w:r w:rsidR="00D01167">
              <w:t>Engineering</w:t>
            </w:r>
            <w:proofErr w:type="gramEnd"/>
            <w:r w:rsidR="00D01167">
              <w:t xml:space="preserve"> or </w:t>
            </w:r>
            <w:r>
              <w:t xml:space="preserve">other relevant fields. </w:t>
            </w:r>
          </w:p>
          <w:p w14:paraId="403850F1" w14:textId="4A435A59" w:rsidR="00993BD5" w:rsidRPr="00993BD5" w:rsidRDefault="00993BD5" w:rsidP="00366D55">
            <w:pPr>
              <w:pStyle w:val="ListParagraph"/>
              <w:numPr>
                <w:ilvl w:val="0"/>
                <w:numId w:val="11"/>
              </w:numPr>
              <w:spacing w:line="240" w:lineRule="auto"/>
            </w:pPr>
            <w:r w:rsidRPr="00993BD5">
              <w:t xml:space="preserve">Demonstrated experience in projects of similar nature/size </w:t>
            </w:r>
            <w:r w:rsidR="00D01167">
              <w:t xml:space="preserve">is </w:t>
            </w:r>
            <w:proofErr w:type="gramStart"/>
            <w:r w:rsidR="00D01167">
              <w:t>required</w:t>
            </w:r>
            <w:r w:rsidRPr="00993BD5">
              <w:t>;</w:t>
            </w:r>
            <w:proofErr w:type="gramEnd"/>
            <w:r w:rsidRPr="00993BD5">
              <w:t xml:space="preserve"> </w:t>
            </w:r>
          </w:p>
          <w:p w14:paraId="4B861061" w14:textId="0BAD7A75" w:rsidR="00993BD5" w:rsidRPr="00993BD5" w:rsidRDefault="00466418" w:rsidP="00366D55">
            <w:pPr>
              <w:pStyle w:val="ListParagraph"/>
              <w:numPr>
                <w:ilvl w:val="0"/>
                <w:numId w:val="11"/>
              </w:numPr>
              <w:spacing w:line="240" w:lineRule="auto"/>
            </w:pPr>
            <w:r>
              <w:lastRenderedPageBreak/>
              <w:t>Good</w:t>
            </w:r>
            <w:r w:rsidR="00993BD5" w:rsidRPr="00993BD5">
              <w:t xml:space="preserve"> writing skill is </w:t>
            </w:r>
            <w:proofErr w:type="gramStart"/>
            <w:r w:rsidR="00993BD5" w:rsidRPr="00993BD5">
              <w:t>required;</w:t>
            </w:r>
            <w:proofErr w:type="gramEnd"/>
          </w:p>
          <w:p w14:paraId="712F497A" w14:textId="2778E051" w:rsidR="00993BD5" w:rsidRPr="00993BD5" w:rsidRDefault="00993BD5" w:rsidP="00366D55">
            <w:pPr>
              <w:pStyle w:val="ListParagraph"/>
              <w:numPr>
                <w:ilvl w:val="0"/>
                <w:numId w:val="11"/>
              </w:numPr>
              <w:spacing w:line="240" w:lineRule="auto"/>
            </w:pPr>
            <w:r w:rsidRPr="00993BD5">
              <w:t xml:space="preserve">Experience working in a similar country context is considered an </w:t>
            </w:r>
            <w:proofErr w:type="gramStart"/>
            <w:r w:rsidRPr="00993BD5">
              <w:t>asset;</w:t>
            </w:r>
            <w:proofErr w:type="gramEnd"/>
            <w:r w:rsidRPr="00993BD5">
              <w:t xml:space="preserve"> </w:t>
            </w:r>
          </w:p>
          <w:p w14:paraId="3E22D145" w14:textId="7FDEFAF7" w:rsidR="00993BD5" w:rsidRPr="00993BD5" w:rsidRDefault="00993BD5" w:rsidP="00366D55">
            <w:pPr>
              <w:pStyle w:val="ListParagraph"/>
              <w:numPr>
                <w:ilvl w:val="0"/>
                <w:numId w:val="11"/>
              </w:numPr>
              <w:spacing w:line="240" w:lineRule="auto"/>
            </w:pPr>
            <w:r w:rsidRPr="00993BD5">
              <w:t xml:space="preserve">Relevant experience with UNICEF or in a UN system agency or organization is considered an </w:t>
            </w:r>
            <w:proofErr w:type="gramStart"/>
            <w:r w:rsidRPr="00993BD5">
              <w:t>asset;</w:t>
            </w:r>
            <w:proofErr w:type="gramEnd"/>
          </w:p>
          <w:p w14:paraId="58C318F5" w14:textId="12E65E6E" w:rsidR="00993BD5" w:rsidRPr="00993BD5" w:rsidRDefault="00993BD5" w:rsidP="00366D55">
            <w:pPr>
              <w:pStyle w:val="ListParagraph"/>
              <w:numPr>
                <w:ilvl w:val="0"/>
                <w:numId w:val="11"/>
              </w:numPr>
              <w:spacing w:line="240" w:lineRule="auto"/>
            </w:pPr>
            <w:r>
              <w:t>Neg</w:t>
            </w:r>
            <w:r w:rsidR="002F2DE7">
              <w:t>o</w:t>
            </w:r>
            <w:r>
              <w:t>ti</w:t>
            </w:r>
            <w:r w:rsidR="002F2DE7">
              <w:t>ati</w:t>
            </w:r>
            <w:r>
              <w:t xml:space="preserve">on, </w:t>
            </w:r>
            <w:r w:rsidR="002F2DE7">
              <w:t>communication,</w:t>
            </w:r>
            <w:r>
              <w:t xml:space="preserve"> and interpersonal skills are required</w:t>
            </w:r>
            <w:r w:rsidRPr="00993BD5">
              <w:t>.</w:t>
            </w:r>
          </w:p>
          <w:p w14:paraId="4FA1677D" w14:textId="77777777" w:rsidR="00993BD5" w:rsidRPr="00993BD5" w:rsidRDefault="00993BD5" w:rsidP="00993BD5">
            <w:pPr>
              <w:spacing w:line="240" w:lineRule="auto"/>
            </w:pPr>
          </w:p>
          <w:p w14:paraId="7E0C033E" w14:textId="77777777" w:rsidR="00993BD5" w:rsidRPr="00993BD5" w:rsidRDefault="00993BD5" w:rsidP="00993BD5">
            <w:pPr>
              <w:spacing w:line="240" w:lineRule="auto"/>
            </w:pPr>
            <w:r w:rsidRPr="00993BD5">
              <w:t xml:space="preserve">Language Requirements: </w:t>
            </w:r>
          </w:p>
          <w:p w14:paraId="7C21FD6F" w14:textId="409CED44" w:rsidR="008875F9" w:rsidRPr="00993BD5" w:rsidRDefault="00993BD5" w:rsidP="00993BD5">
            <w:pPr>
              <w:spacing w:line="240" w:lineRule="auto"/>
              <w:rPr>
                <w:rFonts w:asciiTheme="minorHAnsi" w:hAnsiTheme="minorHAnsi" w:cstheme="minorHAnsi"/>
                <w:color w:val="FF0000"/>
                <w:lang w:val="en-GB"/>
              </w:rPr>
            </w:pPr>
            <w:r w:rsidRPr="00993BD5">
              <w:t>•</w:t>
            </w:r>
            <w:r w:rsidRPr="00993BD5">
              <w:tab/>
              <w:t xml:space="preserve">Fluency in </w:t>
            </w:r>
            <w:r w:rsidR="00466418">
              <w:t>Russian</w:t>
            </w:r>
            <w:r w:rsidR="00E30C9F">
              <w:t>/Turkmen</w:t>
            </w:r>
            <w:r w:rsidRPr="00993BD5">
              <w:t xml:space="preserve"> is required</w:t>
            </w:r>
            <w:r w:rsidR="00D43C6D">
              <w:t xml:space="preserve"> and </w:t>
            </w:r>
            <w:r>
              <w:t>working knowledge of</w:t>
            </w:r>
            <w:r w:rsidR="00E30C9F">
              <w:t xml:space="preserve"> English</w:t>
            </w:r>
            <w:r w:rsidR="00D01167">
              <w:t xml:space="preserve"> </w:t>
            </w:r>
            <w:r w:rsidR="002F2DE7">
              <w:t>is an asset</w:t>
            </w:r>
            <w:r w:rsidR="00D01167">
              <w:t>;</w:t>
            </w:r>
          </w:p>
        </w:tc>
      </w:tr>
      <w:tr w:rsidR="008875F9" w:rsidRPr="008C503D" w14:paraId="0019C587" w14:textId="77777777" w:rsidTr="003D012F">
        <w:trPr>
          <w:trHeight w:val="5802"/>
        </w:trPr>
        <w:tc>
          <w:tcPr>
            <w:tcW w:w="2286" w:type="dxa"/>
            <w:tcBorders>
              <w:top w:val="single" w:sz="4" w:space="0" w:color="auto"/>
              <w:left w:val="single" w:sz="4" w:space="0" w:color="auto"/>
              <w:bottom w:val="single" w:sz="4" w:space="0" w:color="auto"/>
              <w:right w:val="single" w:sz="4" w:space="0" w:color="auto"/>
            </w:tcBorders>
          </w:tcPr>
          <w:p w14:paraId="1C4E0544" w14:textId="77777777" w:rsidR="00412B90" w:rsidRPr="00412B90" w:rsidRDefault="00412B90" w:rsidP="00412B90">
            <w:pPr>
              <w:pStyle w:val="Heading1"/>
              <w:rPr>
                <w:rFonts w:asciiTheme="minorHAnsi" w:eastAsiaTheme="minorEastAsia" w:hAnsiTheme="minorHAnsi" w:cstheme="minorHAnsi"/>
                <w:sz w:val="20"/>
                <w:szCs w:val="20"/>
              </w:rPr>
            </w:pPr>
            <w:r w:rsidRPr="00412B90">
              <w:rPr>
                <w:rFonts w:asciiTheme="minorHAnsi" w:eastAsiaTheme="minorEastAsia" w:hAnsiTheme="minorHAnsi" w:cstheme="minorHAnsi"/>
                <w:sz w:val="20"/>
                <w:szCs w:val="20"/>
              </w:rPr>
              <w:lastRenderedPageBreak/>
              <w:t>Submission of applications:</w:t>
            </w:r>
          </w:p>
          <w:p w14:paraId="2BE551BE" w14:textId="40BF0775" w:rsidR="008875F9" w:rsidRPr="008C503D" w:rsidRDefault="00412B90" w:rsidP="00412B90">
            <w:pPr>
              <w:pStyle w:val="Heading1"/>
              <w:rPr>
                <w:rFonts w:asciiTheme="minorHAnsi" w:eastAsiaTheme="minorEastAsia" w:hAnsiTheme="minorHAnsi" w:cstheme="minorHAnsi"/>
                <w:sz w:val="20"/>
                <w:szCs w:val="20"/>
              </w:rPr>
            </w:pPr>
            <w:r w:rsidRPr="00412B90">
              <w:rPr>
                <w:rFonts w:asciiTheme="minorHAnsi" w:eastAsiaTheme="minorEastAsia" w:hAnsiTheme="minorHAnsi" w:cstheme="minorHAnsi"/>
                <w:sz w:val="20"/>
                <w:szCs w:val="20"/>
              </w:rPr>
              <w:t>The submissions should contain two separate proposals: Technical and Financial Proposals.</w:t>
            </w:r>
          </w:p>
        </w:tc>
        <w:tc>
          <w:tcPr>
            <w:tcW w:w="7609" w:type="dxa"/>
            <w:tcBorders>
              <w:top w:val="single" w:sz="4" w:space="0" w:color="auto"/>
              <w:left w:val="single" w:sz="4" w:space="0" w:color="auto"/>
              <w:bottom w:val="single" w:sz="4" w:space="0" w:color="auto"/>
              <w:right w:val="single" w:sz="4" w:space="0" w:color="auto"/>
            </w:tcBorders>
          </w:tcPr>
          <w:p w14:paraId="177D9DC6" w14:textId="794786C8" w:rsidR="008875F9" w:rsidRPr="008875F9" w:rsidRDefault="008875F9" w:rsidP="008875F9">
            <w:pPr>
              <w:jc w:val="both"/>
              <w:rPr>
                <w:rFonts w:eastAsiaTheme="minorEastAsia" w:cstheme="minorHAnsi"/>
              </w:rPr>
            </w:pPr>
            <w:r w:rsidRPr="008875F9">
              <w:rPr>
                <w:rFonts w:eastAsiaTheme="minorEastAsia" w:cstheme="minorHAnsi"/>
              </w:rPr>
              <w:t>The technical proposal should include</w:t>
            </w:r>
          </w:p>
          <w:p w14:paraId="491A6DCD" w14:textId="2FCADD29" w:rsidR="008875F9" w:rsidRPr="008875F9" w:rsidRDefault="00354CED" w:rsidP="00366D55">
            <w:pPr>
              <w:pStyle w:val="ListParagraph"/>
              <w:numPr>
                <w:ilvl w:val="0"/>
                <w:numId w:val="1"/>
              </w:numPr>
              <w:spacing w:line="240" w:lineRule="auto"/>
              <w:contextualSpacing w:val="0"/>
              <w:jc w:val="both"/>
              <w:rPr>
                <w:rFonts w:eastAsiaTheme="minorEastAsia" w:cstheme="minorHAnsi"/>
              </w:rPr>
            </w:pPr>
            <w:r>
              <w:rPr>
                <w:rFonts w:eastAsiaTheme="minorEastAsia" w:cstheme="minorHAnsi"/>
              </w:rPr>
              <w:t>Methodology of work</w:t>
            </w:r>
            <w:r w:rsidR="008875F9" w:rsidRPr="008875F9">
              <w:rPr>
                <w:rFonts w:eastAsiaTheme="minorEastAsia" w:cstheme="minorHAnsi"/>
              </w:rPr>
              <w:t>, including</w:t>
            </w:r>
          </w:p>
          <w:p w14:paraId="15F32625" w14:textId="77777777" w:rsidR="008875F9" w:rsidRPr="008875F9" w:rsidRDefault="008875F9" w:rsidP="00366D55">
            <w:pPr>
              <w:pStyle w:val="ListParagraph"/>
              <w:numPr>
                <w:ilvl w:val="1"/>
                <w:numId w:val="1"/>
              </w:numPr>
              <w:spacing w:before="120" w:after="120"/>
              <w:rPr>
                <w:rFonts w:eastAsiaTheme="minorEastAsia" w:cstheme="minorHAnsi"/>
              </w:rPr>
            </w:pPr>
            <w:r w:rsidRPr="008875F9">
              <w:rPr>
                <w:rFonts w:eastAsiaTheme="minorEastAsia" w:cstheme="minorHAnsi"/>
              </w:rPr>
              <w:t xml:space="preserve">Assessment of suitability vis-à-vis the requirements of this </w:t>
            </w:r>
            <w:proofErr w:type="spellStart"/>
            <w:proofErr w:type="gramStart"/>
            <w:r w:rsidRPr="008875F9">
              <w:rPr>
                <w:rFonts w:eastAsiaTheme="minorEastAsia" w:cstheme="minorHAnsi"/>
              </w:rPr>
              <w:t>ToR</w:t>
            </w:r>
            <w:proofErr w:type="spellEnd"/>
            <w:r w:rsidRPr="008875F9">
              <w:rPr>
                <w:rFonts w:eastAsiaTheme="minorEastAsia" w:cstheme="minorHAnsi"/>
              </w:rPr>
              <w:t>;</w:t>
            </w:r>
            <w:proofErr w:type="gramEnd"/>
          </w:p>
          <w:p w14:paraId="2C0B16A9" w14:textId="77777777" w:rsidR="008875F9" w:rsidRPr="008875F9" w:rsidRDefault="008875F9" w:rsidP="00366D55">
            <w:pPr>
              <w:pStyle w:val="ListParagraph"/>
              <w:numPr>
                <w:ilvl w:val="1"/>
                <w:numId w:val="1"/>
              </w:numPr>
              <w:spacing w:before="120" w:after="120"/>
              <w:rPr>
                <w:rFonts w:eastAsiaTheme="minorEastAsia" w:cstheme="minorHAnsi"/>
              </w:rPr>
            </w:pPr>
            <w:r w:rsidRPr="008875F9">
              <w:rPr>
                <w:rFonts w:eastAsiaTheme="minorEastAsia" w:cstheme="minorHAnsi"/>
              </w:rPr>
              <w:t xml:space="preserve">A summary of experience in similar </w:t>
            </w:r>
            <w:proofErr w:type="gramStart"/>
            <w:r w:rsidRPr="008875F9">
              <w:rPr>
                <w:rFonts w:eastAsiaTheme="minorEastAsia" w:cstheme="minorHAnsi"/>
              </w:rPr>
              <w:t>assignments;</w:t>
            </w:r>
            <w:proofErr w:type="gramEnd"/>
          </w:p>
          <w:p w14:paraId="4071143B" w14:textId="77777777" w:rsidR="008875F9" w:rsidRPr="008875F9" w:rsidRDefault="008875F9" w:rsidP="00366D55">
            <w:pPr>
              <w:pStyle w:val="ListParagraph"/>
              <w:numPr>
                <w:ilvl w:val="1"/>
                <w:numId w:val="1"/>
              </w:numPr>
              <w:spacing w:before="120" w:after="120"/>
              <w:rPr>
                <w:rFonts w:eastAsiaTheme="minorEastAsia" w:cstheme="minorHAnsi"/>
              </w:rPr>
            </w:pPr>
            <w:r w:rsidRPr="008875F9">
              <w:rPr>
                <w:rFonts w:eastAsiaTheme="minorEastAsia" w:cstheme="minorHAnsi"/>
              </w:rPr>
              <w:t xml:space="preserve">Links to/attachments of examples of similar </w:t>
            </w:r>
            <w:proofErr w:type="gramStart"/>
            <w:r w:rsidRPr="008875F9">
              <w:rPr>
                <w:rFonts w:eastAsiaTheme="minorEastAsia" w:cstheme="minorHAnsi"/>
              </w:rPr>
              <w:t>work;</w:t>
            </w:r>
            <w:proofErr w:type="gramEnd"/>
          </w:p>
          <w:p w14:paraId="4D21F62C" w14:textId="13B05761" w:rsidR="008875F9" w:rsidRDefault="008875F9" w:rsidP="00366D55">
            <w:pPr>
              <w:pStyle w:val="ListParagraph"/>
              <w:numPr>
                <w:ilvl w:val="0"/>
                <w:numId w:val="1"/>
              </w:numPr>
              <w:spacing w:line="240" w:lineRule="auto"/>
              <w:contextualSpacing w:val="0"/>
              <w:jc w:val="both"/>
              <w:rPr>
                <w:rFonts w:eastAsiaTheme="minorEastAsia" w:cstheme="minorHAnsi"/>
              </w:rPr>
            </w:pPr>
            <w:r w:rsidRPr="008875F9">
              <w:rPr>
                <w:rFonts w:eastAsiaTheme="minorEastAsia" w:cstheme="minorHAnsi"/>
              </w:rPr>
              <w:t xml:space="preserve">CV of the candidate </w:t>
            </w:r>
          </w:p>
          <w:p w14:paraId="6F14D577" w14:textId="3AD7C589" w:rsidR="009764B1" w:rsidRPr="008875F9" w:rsidRDefault="009764B1" w:rsidP="00366D55">
            <w:pPr>
              <w:pStyle w:val="ListParagraph"/>
              <w:numPr>
                <w:ilvl w:val="0"/>
                <w:numId w:val="1"/>
              </w:numPr>
              <w:spacing w:line="240" w:lineRule="auto"/>
              <w:contextualSpacing w:val="0"/>
              <w:jc w:val="both"/>
              <w:rPr>
                <w:rFonts w:eastAsiaTheme="minorEastAsia" w:cstheme="minorHAnsi"/>
              </w:rPr>
            </w:pPr>
            <w:r>
              <w:rPr>
                <w:rFonts w:eastAsiaTheme="minorEastAsia" w:cstheme="minorHAnsi"/>
              </w:rPr>
              <w:t>References</w:t>
            </w:r>
          </w:p>
          <w:p w14:paraId="6B1E7D2C" w14:textId="5C9E0FBE" w:rsidR="00412B90" w:rsidRPr="004A4526" w:rsidRDefault="00412B90" w:rsidP="004A4526">
            <w:pPr>
              <w:spacing w:line="240" w:lineRule="auto"/>
              <w:ind w:left="360"/>
              <w:jc w:val="both"/>
              <w:rPr>
                <w:rFonts w:asciiTheme="minorHAnsi" w:hAnsiTheme="minorHAnsi" w:cstheme="minorHAnsi"/>
                <w:lang w:eastAsia="en-GB"/>
              </w:rPr>
            </w:pPr>
          </w:p>
          <w:p w14:paraId="7CC73789" w14:textId="6461B82C" w:rsidR="00412B90" w:rsidRPr="004A4526" w:rsidRDefault="00412B90" w:rsidP="004A4526">
            <w:pPr>
              <w:spacing w:before="120" w:after="120"/>
              <w:rPr>
                <w:rFonts w:eastAsiaTheme="minorEastAsia" w:cstheme="minorHAnsi"/>
              </w:rPr>
            </w:pPr>
            <w:r w:rsidRPr="004A4526">
              <w:rPr>
                <w:rFonts w:eastAsiaTheme="minorEastAsia" w:cstheme="minorHAnsi"/>
              </w:rPr>
              <w:t>Financial Proposal: Candidates need to submit a financial proposal</w:t>
            </w:r>
            <w:r w:rsidR="002A08F3" w:rsidRPr="004A4526">
              <w:rPr>
                <w:rFonts w:eastAsiaTheme="minorEastAsia" w:cstheme="minorHAnsi"/>
              </w:rPr>
              <w:t xml:space="preserve"> (All-inclusive </w:t>
            </w:r>
            <w:r w:rsidR="004E5F58" w:rsidRPr="004A4526">
              <w:rPr>
                <w:rFonts w:eastAsiaTheme="minorEastAsia" w:cstheme="minorHAnsi"/>
              </w:rPr>
              <w:t>consultancy fee</w:t>
            </w:r>
            <w:r w:rsidR="004E5F58">
              <w:rPr>
                <w:rFonts w:eastAsiaTheme="minorEastAsia" w:cstheme="minorHAnsi"/>
              </w:rPr>
              <w:t xml:space="preserve"> inclusive of </w:t>
            </w:r>
            <w:r w:rsidR="004E5F58" w:rsidRPr="004A4526">
              <w:rPr>
                <w:rFonts w:eastAsiaTheme="minorEastAsia" w:cstheme="minorHAnsi"/>
              </w:rPr>
              <w:t>transportation</w:t>
            </w:r>
            <w:r w:rsidR="004E5F58">
              <w:rPr>
                <w:rFonts w:eastAsiaTheme="minorEastAsia" w:cstheme="minorHAnsi"/>
              </w:rPr>
              <w:t xml:space="preserve"> and communication costs in </w:t>
            </w:r>
            <w:r w:rsidR="00E12A1A" w:rsidRPr="004A4526">
              <w:rPr>
                <w:rFonts w:eastAsiaTheme="minorEastAsia" w:cstheme="minorHAnsi"/>
              </w:rPr>
              <w:t>lump sum, as applicable</w:t>
            </w:r>
            <w:r w:rsidR="002A08F3" w:rsidRPr="004A4526">
              <w:rPr>
                <w:rFonts w:eastAsiaTheme="minorEastAsia" w:cstheme="minorHAnsi"/>
              </w:rPr>
              <w:t>) as a separate attachment in pdf file to</w:t>
            </w:r>
            <w:r w:rsidRPr="004A4526">
              <w:rPr>
                <w:rFonts w:eastAsiaTheme="minorEastAsia" w:cstheme="minorHAnsi"/>
              </w:rPr>
              <w:t xml:space="preserve"> complete the entire assignment based on the terms of reference. All-inclusive consultancy fee should be broken down to show the detail for the following:</w:t>
            </w:r>
          </w:p>
          <w:p w14:paraId="620306F6" w14:textId="77777777" w:rsidR="00412B90" w:rsidRDefault="00412B90" w:rsidP="00412B90">
            <w:pPr>
              <w:spacing w:line="240" w:lineRule="auto"/>
              <w:jc w:val="both"/>
              <w:rPr>
                <w:lang w:eastAsia="en-GB"/>
              </w:rPr>
            </w:pPr>
          </w:p>
          <w:tbl>
            <w:tblPr>
              <w:tblStyle w:val="TableGrid"/>
              <w:tblW w:w="0" w:type="auto"/>
              <w:tblLook w:val="04A0" w:firstRow="1" w:lastRow="0" w:firstColumn="1" w:lastColumn="0" w:noHBand="0" w:noVBand="1"/>
            </w:tblPr>
            <w:tblGrid>
              <w:gridCol w:w="3691"/>
              <w:gridCol w:w="3692"/>
            </w:tblGrid>
            <w:tr w:rsidR="00412B90" w14:paraId="7720E7AA" w14:textId="77777777" w:rsidTr="00412B90">
              <w:tc>
                <w:tcPr>
                  <w:tcW w:w="3691" w:type="dxa"/>
                </w:tcPr>
                <w:p w14:paraId="06CC08E8" w14:textId="31DD648D" w:rsidR="00412B90" w:rsidRDefault="00D43172" w:rsidP="00D32FBE">
                  <w:pPr>
                    <w:framePr w:hSpace="180" w:wrap="around" w:vAnchor="text" w:hAnchor="text" w:y="829"/>
                    <w:spacing w:line="240" w:lineRule="auto"/>
                    <w:jc w:val="both"/>
                    <w:rPr>
                      <w:lang w:eastAsia="en-GB"/>
                    </w:rPr>
                  </w:pPr>
                  <w:r>
                    <w:rPr>
                      <w:lang w:eastAsia="en-GB"/>
                    </w:rPr>
                    <w:t xml:space="preserve">Consultancy </w:t>
                  </w:r>
                  <w:r w:rsidR="00466418">
                    <w:rPr>
                      <w:lang w:eastAsia="en-GB"/>
                    </w:rPr>
                    <w:t>f</w:t>
                  </w:r>
                  <w:r>
                    <w:rPr>
                      <w:lang w:eastAsia="en-GB"/>
                    </w:rPr>
                    <w:t xml:space="preserve">ee </w:t>
                  </w:r>
                  <w:r w:rsidR="00466418">
                    <w:rPr>
                      <w:lang w:eastAsia="en-GB"/>
                    </w:rPr>
                    <w:t xml:space="preserve">per day </w:t>
                  </w:r>
                </w:p>
              </w:tc>
              <w:tc>
                <w:tcPr>
                  <w:tcW w:w="3692" w:type="dxa"/>
                </w:tcPr>
                <w:p w14:paraId="5C7E5F75" w14:textId="77777777" w:rsidR="00412B90" w:rsidRDefault="00412B90" w:rsidP="00D32FBE">
                  <w:pPr>
                    <w:framePr w:hSpace="180" w:wrap="around" w:vAnchor="text" w:hAnchor="text" w:y="829"/>
                    <w:spacing w:line="240" w:lineRule="auto"/>
                    <w:jc w:val="both"/>
                    <w:rPr>
                      <w:lang w:eastAsia="en-GB"/>
                    </w:rPr>
                  </w:pPr>
                </w:p>
              </w:tc>
            </w:tr>
            <w:tr w:rsidR="00412B90" w14:paraId="3D3FE9F1" w14:textId="77777777" w:rsidTr="00412B90">
              <w:tc>
                <w:tcPr>
                  <w:tcW w:w="3691" w:type="dxa"/>
                </w:tcPr>
                <w:p w14:paraId="713671DE" w14:textId="5DBD49BC" w:rsidR="00412B90" w:rsidRDefault="00342593" w:rsidP="00D32FBE">
                  <w:pPr>
                    <w:framePr w:hSpace="180" w:wrap="around" w:vAnchor="text" w:hAnchor="text" w:y="829"/>
                    <w:spacing w:line="240" w:lineRule="auto"/>
                    <w:jc w:val="both"/>
                    <w:rPr>
                      <w:lang w:eastAsia="en-GB"/>
                    </w:rPr>
                  </w:pPr>
                  <w:r>
                    <w:rPr>
                      <w:lang w:eastAsia="en-GB"/>
                    </w:rPr>
                    <w:t xml:space="preserve">Total in USD: </w:t>
                  </w:r>
                </w:p>
              </w:tc>
              <w:tc>
                <w:tcPr>
                  <w:tcW w:w="3692" w:type="dxa"/>
                </w:tcPr>
                <w:p w14:paraId="50BB51DA" w14:textId="77777777" w:rsidR="00412B90" w:rsidRDefault="00412B90" w:rsidP="00D32FBE">
                  <w:pPr>
                    <w:framePr w:hSpace="180" w:wrap="around" w:vAnchor="text" w:hAnchor="text" w:y="829"/>
                    <w:spacing w:line="240" w:lineRule="auto"/>
                    <w:jc w:val="both"/>
                    <w:rPr>
                      <w:lang w:eastAsia="en-GB"/>
                    </w:rPr>
                  </w:pPr>
                </w:p>
              </w:tc>
            </w:tr>
          </w:tbl>
          <w:p w14:paraId="086C44CC" w14:textId="0BF2AB64" w:rsidR="00412B90" w:rsidRDefault="00412B90" w:rsidP="00412B90">
            <w:pPr>
              <w:spacing w:line="240" w:lineRule="auto"/>
              <w:jc w:val="both"/>
              <w:rPr>
                <w:lang w:eastAsia="en-GB"/>
              </w:rPr>
            </w:pPr>
          </w:p>
          <w:p w14:paraId="77A5C9EE" w14:textId="03872127" w:rsidR="00D43172" w:rsidRDefault="00E12A1A" w:rsidP="00412B90">
            <w:pPr>
              <w:spacing w:line="240" w:lineRule="auto"/>
              <w:jc w:val="both"/>
              <w:rPr>
                <w:lang w:eastAsia="en-GB"/>
              </w:rPr>
            </w:pPr>
            <w:r>
              <w:rPr>
                <w:lang w:eastAsia="en-GB"/>
              </w:rPr>
              <w:t xml:space="preserve">Applications </w:t>
            </w:r>
            <w:r w:rsidR="002A08F3">
              <w:rPr>
                <w:lang w:eastAsia="en-GB"/>
              </w:rPr>
              <w:t xml:space="preserve">without financial proposal will be disqualified.  </w:t>
            </w:r>
          </w:p>
          <w:p w14:paraId="2FB8C55C" w14:textId="56F034B7" w:rsidR="00412B90" w:rsidRDefault="00412B90" w:rsidP="00412B90">
            <w:pPr>
              <w:spacing w:line="240" w:lineRule="auto"/>
              <w:jc w:val="both"/>
              <w:rPr>
                <w:lang w:eastAsia="en-GB"/>
              </w:rPr>
            </w:pPr>
          </w:p>
          <w:p w14:paraId="582334BC" w14:textId="480DAD5A" w:rsidR="00D43172" w:rsidRDefault="00874551" w:rsidP="00412B90">
            <w:pPr>
              <w:spacing w:line="240" w:lineRule="auto"/>
              <w:jc w:val="both"/>
              <w:rPr>
                <w:lang w:eastAsia="en-GB"/>
              </w:rPr>
            </w:pPr>
            <w:r w:rsidRPr="00874551">
              <w:rPr>
                <w:lang w:eastAsia="en-GB"/>
              </w:rPr>
              <w:t>The applicants should ensure that all pricing information is provided in USD. Invoicing will be in the currency of the proposal.</w:t>
            </w:r>
          </w:p>
          <w:p w14:paraId="2AEDCE8D" w14:textId="5E783023" w:rsidR="00412B90" w:rsidRPr="00412B90" w:rsidRDefault="00412B90" w:rsidP="00D01167">
            <w:pPr>
              <w:spacing w:line="240" w:lineRule="auto"/>
              <w:jc w:val="both"/>
              <w:rPr>
                <w:lang w:eastAsia="en-GB"/>
              </w:rPr>
            </w:pPr>
          </w:p>
        </w:tc>
      </w:tr>
      <w:tr w:rsidR="008875F9" w:rsidRPr="00D93520" w14:paraId="00D95859" w14:textId="77777777" w:rsidTr="008875F9">
        <w:trPr>
          <w:trHeight w:val="1107"/>
        </w:trPr>
        <w:tc>
          <w:tcPr>
            <w:tcW w:w="2286" w:type="dxa"/>
            <w:tcBorders>
              <w:top w:val="single" w:sz="4" w:space="0" w:color="auto"/>
              <w:left w:val="single" w:sz="4" w:space="0" w:color="auto"/>
              <w:bottom w:val="single" w:sz="4" w:space="0" w:color="auto"/>
              <w:right w:val="single" w:sz="4" w:space="0" w:color="auto"/>
            </w:tcBorders>
          </w:tcPr>
          <w:p w14:paraId="77BB7866" w14:textId="77777777" w:rsidR="008875F9" w:rsidRPr="008C503D" w:rsidRDefault="008875F9" w:rsidP="008875F9">
            <w:pPr>
              <w:pStyle w:val="Heading1"/>
              <w:rPr>
                <w:rFonts w:asciiTheme="minorHAnsi" w:hAnsiTheme="minorHAnsi" w:cstheme="minorHAnsi"/>
                <w:sz w:val="20"/>
                <w:szCs w:val="20"/>
                <w:lang w:bidi="th-TH"/>
              </w:rPr>
            </w:pPr>
            <w:r w:rsidRPr="008C503D">
              <w:rPr>
                <w:rFonts w:asciiTheme="minorHAnsi" w:hAnsiTheme="minorHAnsi" w:cstheme="minorHAnsi"/>
                <w:sz w:val="20"/>
                <w:szCs w:val="20"/>
                <w:lang w:bidi="th-TH"/>
              </w:rPr>
              <w:t>Evaluation criteria</w:t>
            </w:r>
          </w:p>
          <w:p w14:paraId="6E06CF46" w14:textId="77777777" w:rsidR="008875F9" w:rsidRPr="008C503D" w:rsidRDefault="008875F9" w:rsidP="008875F9">
            <w:pPr>
              <w:pStyle w:val="Heading1"/>
              <w:rPr>
                <w:rFonts w:asciiTheme="minorHAnsi" w:eastAsiaTheme="minorEastAsia" w:hAnsiTheme="minorHAnsi" w:cstheme="minorHAnsi"/>
                <w:sz w:val="20"/>
                <w:szCs w:val="20"/>
              </w:rPr>
            </w:pPr>
          </w:p>
        </w:tc>
        <w:tc>
          <w:tcPr>
            <w:tcW w:w="7609" w:type="dxa"/>
            <w:tcBorders>
              <w:top w:val="single" w:sz="4" w:space="0" w:color="auto"/>
              <w:left w:val="single" w:sz="4" w:space="0" w:color="auto"/>
              <w:bottom w:val="single" w:sz="4" w:space="0" w:color="auto"/>
              <w:right w:val="single" w:sz="4" w:space="0" w:color="auto"/>
            </w:tcBorders>
          </w:tcPr>
          <w:p w14:paraId="22646673" w14:textId="77777777" w:rsidR="00591342" w:rsidRPr="00082525" w:rsidRDefault="00591342" w:rsidP="00591342">
            <w:pPr>
              <w:jc w:val="both"/>
              <w:rPr>
                <w:rFonts w:eastAsiaTheme="minorEastAsia" w:cstheme="minorHAnsi"/>
              </w:rPr>
            </w:pPr>
            <w:r w:rsidRPr="00082525">
              <w:rPr>
                <w:rFonts w:eastAsiaTheme="minorEastAsia" w:cstheme="minorHAnsi"/>
              </w:rPr>
              <w:t xml:space="preserve">Each proposal will be assessed first on its technical merits and subsequently on its price. In making the final decision, UNICEF considers both technical and financial aspects to ensure best value for money.  </w:t>
            </w:r>
          </w:p>
          <w:p w14:paraId="00BB1AA1" w14:textId="77777777" w:rsidR="00591342" w:rsidRPr="00082525" w:rsidRDefault="00591342" w:rsidP="00591342">
            <w:pPr>
              <w:jc w:val="both"/>
              <w:rPr>
                <w:rFonts w:eastAsiaTheme="minorEastAsia" w:cstheme="minorHAnsi"/>
              </w:rPr>
            </w:pPr>
            <w:r w:rsidRPr="00082525">
              <w:rPr>
                <w:rFonts w:eastAsiaTheme="minorEastAsia" w:cstheme="minorHAnsi"/>
              </w:rPr>
              <w:t xml:space="preserve">The Evaluation Team first reviews the technical aspects of the offer </w:t>
            </w:r>
            <w:proofErr w:type="gramStart"/>
            <w:r w:rsidRPr="00082525">
              <w:rPr>
                <w:rFonts w:eastAsiaTheme="minorEastAsia" w:cstheme="minorHAnsi"/>
              </w:rPr>
              <w:t>on the basis of</w:t>
            </w:r>
            <w:proofErr w:type="gramEnd"/>
            <w:r w:rsidRPr="00082525">
              <w:rPr>
                <w:rFonts w:eastAsiaTheme="minorEastAsia" w:cstheme="minorHAnsi"/>
              </w:rPr>
              <w:t xml:space="preserve"> the qualifications described above and as per the breakdown in the table below, followed by review of the financial offers of the technically compliant candidates:</w:t>
            </w:r>
          </w:p>
          <w:p w14:paraId="15719540" w14:textId="77777777" w:rsidR="00E30C9F" w:rsidRDefault="00E30C9F" w:rsidP="00591342">
            <w:pPr>
              <w:jc w:val="both"/>
              <w:rPr>
                <w:rFonts w:eastAsiaTheme="minorEastAsia" w:cstheme="minorHAnsi"/>
              </w:rPr>
            </w:pPr>
          </w:p>
          <w:p w14:paraId="24F94597" w14:textId="12CB1F04" w:rsidR="00591342" w:rsidRPr="00082525" w:rsidRDefault="00591342" w:rsidP="00591342">
            <w:pPr>
              <w:jc w:val="both"/>
              <w:rPr>
                <w:rFonts w:eastAsiaTheme="minorEastAsia" w:cstheme="minorHAnsi"/>
              </w:rPr>
            </w:pPr>
            <w:r w:rsidRPr="00082525">
              <w:rPr>
                <w:rFonts w:eastAsiaTheme="minorEastAsia" w:cstheme="minorHAnsi"/>
              </w:rPr>
              <w:t>Contents of the Technical Proposal</w:t>
            </w:r>
            <w:r w:rsidR="00466418">
              <w:rPr>
                <w:rFonts w:eastAsiaTheme="minorEastAsia" w:cstheme="minorHAnsi"/>
              </w:rPr>
              <w:t xml:space="preserve"> </w:t>
            </w:r>
            <w:r w:rsidRPr="00082525">
              <w:rPr>
                <w:rFonts w:eastAsiaTheme="minorEastAsia" w:cstheme="minorHAnsi"/>
              </w:rPr>
              <w:t>Score</w:t>
            </w:r>
            <w:r w:rsidR="00E30C9F">
              <w:rPr>
                <w:rFonts w:eastAsiaTheme="minorEastAsia" w:cstheme="minorHAnsi"/>
              </w:rPr>
              <w:t>:</w:t>
            </w:r>
          </w:p>
          <w:p w14:paraId="09EF870E" w14:textId="79A3809F" w:rsidR="00591342" w:rsidRPr="00082525" w:rsidRDefault="00591342" w:rsidP="00591342">
            <w:pPr>
              <w:jc w:val="both"/>
              <w:rPr>
                <w:rFonts w:eastAsiaTheme="minorEastAsia" w:cstheme="minorHAnsi"/>
              </w:rPr>
            </w:pPr>
            <w:r w:rsidRPr="00082525">
              <w:rPr>
                <w:rFonts w:eastAsiaTheme="minorEastAsia" w:cstheme="minorHAnsi"/>
              </w:rPr>
              <w:t>Assessment of suitability vis-à-vis requirements</w:t>
            </w:r>
            <w:r w:rsidRPr="00082525">
              <w:rPr>
                <w:rFonts w:eastAsiaTheme="minorEastAsia" w:cstheme="minorHAnsi"/>
              </w:rPr>
              <w:tab/>
            </w:r>
            <w:r w:rsidR="00244FA1">
              <w:rPr>
                <w:rFonts w:eastAsiaTheme="minorEastAsia" w:cstheme="minorHAnsi"/>
              </w:rPr>
              <w:t>20</w:t>
            </w:r>
          </w:p>
          <w:p w14:paraId="451CD0DB" w14:textId="108A4F52" w:rsidR="00591342" w:rsidRPr="00082525" w:rsidRDefault="00591342" w:rsidP="00591342">
            <w:pPr>
              <w:jc w:val="both"/>
              <w:rPr>
                <w:rFonts w:eastAsiaTheme="minorEastAsia" w:cstheme="minorHAnsi"/>
              </w:rPr>
            </w:pPr>
            <w:r w:rsidRPr="00082525">
              <w:rPr>
                <w:rFonts w:eastAsiaTheme="minorEastAsia" w:cstheme="minorHAnsi"/>
              </w:rPr>
              <w:t>Similar experience in similar assignments and proof of similar work</w:t>
            </w:r>
            <w:r w:rsidR="00E30C9F">
              <w:rPr>
                <w:rFonts w:eastAsiaTheme="minorEastAsia" w:cstheme="minorHAnsi"/>
              </w:rPr>
              <w:t xml:space="preserve"> </w:t>
            </w:r>
            <w:r w:rsidR="00244FA1">
              <w:rPr>
                <w:rFonts w:eastAsiaTheme="minorEastAsia" w:cstheme="minorHAnsi"/>
              </w:rPr>
              <w:t>25</w:t>
            </w:r>
          </w:p>
          <w:p w14:paraId="7D853C8E" w14:textId="2467D7CB" w:rsidR="00591342" w:rsidRDefault="00591342" w:rsidP="00591342">
            <w:pPr>
              <w:jc w:val="both"/>
              <w:rPr>
                <w:rFonts w:eastAsiaTheme="minorEastAsia" w:cstheme="minorHAnsi"/>
              </w:rPr>
            </w:pPr>
            <w:r w:rsidRPr="00082525">
              <w:rPr>
                <w:rFonts w:eastAsiaTheme="minorEastAsia" w:cstheme="minorHAnsi"/>
              </w:rPr>
              <w:t>Eligibility of the candidate (CV)</w:t>
            </w:r>
            <w:r w:rsidR="00E30C9F">
              <w:rPr>
                <w:rFonts w:eastAsiaTheme="minorEastAsia" w:cstheme="minorHAnsi"/>
              </w:rPr>
              <w:t xml:space="preserve"> </w:t>
            </w:r>
            <w:r w:rsidRPr="00082525">
              <w:rPr>
                <w:rFonts w:eastAsiaTheme="minorEastAsia" w:cstheme="minorHAnsi"/>
              </w:rPr>
              <w:t>25</w:t>
            </w:r>
          </w:p>
          <w:p w14:paraId="3ECE57BE" w14:textId="2511C47F" w:rsidR="004A0BFE" w:rsidRPr="00082525" w:rsidRDefault="004A0BFE" w:rsidP="00591342">
            <w:pPr>
              <w:jc w:val="both"/>
              <w:rPr>
                <w:rFonts w:eastAsiaTheme="minorEastAsia" w:cstheme="minorHAnsi"/>
              </w:rPr>
            </w:pPr>
            <w:r>
              <w:rPr>
                <w:rFonts w:eastAsiaTheme="minorEastAsia" w:cstheme="minorHAnsi"/>
              </w:rPr>
              <w:t xml:space="preserve">Training and presentation skills </w:t>
            </w:r>
            <w:r w:rsidR="00244FA1">
              <w:rPr>
                <w:rFonts w:eastAsiaTheme="minorEastAsia" w:cstheme="minorHAnsi"/>
              </w:rPr>
              <w:t>10</w:t>
            </w:r>
          </w:p>
          <w:p w14:paraId="7B7117C2" w14:textId="35AC0F75" w:rsidR="00591342" w:rsidRDefault="00E30C9F" w:rsidP="00591342">
            <w:pPr>
              <w:jc w:val="both"/>
              <w:rPr>
                <w:rFonts w:eastAsiaTheme="minorEastAsia" w:cstheme="minorHAnsi"/>
              </w:rPr>
            </w:pPr>
            <w:r>
              <w:rPr>
                <w:rFonts w:eastAsiaTheme="minorEastAsia" w:cstheme="minorHAnsi"/>
              </w:rPr>
              <w:t xml:space="preserve">Language skills </w:t>
            </w:r>
            <w:r w:rsidRPr="00082525">
              <w:rPr>
                <w:rFonts w:eastAsiaTheme="minorEastAsia" w:cstheme="minorHAnsi"/>
              </w:rPr>
              <w:tab/>
            </w:r>
            <w:r w:rsidR="00244FA1">
              <w:rPr>
                <w:rFonts w:eastAsiaTheme="minorEastAsia" w:cstheme="minorHAnsi"/>
              </w:rPr>
              <w:t>10</w:t>
            </w:r>
          </w:p>
          <w:p w14:paraId="36BB9768" w14:textId="66A6E19F" w:rsidR="00244FA1" w:rsidRPr="00082525" w:rsidRDefault="00244FA1" w:rsidP="00591342">
            <w:pPr>
              <w:jc w:val="both"/>
              <w:rPr>
                <w:rFonts w:eastAsiaTheme="minorEastAsia" w:cstheme="minorHAnsi"/>
              </w:rPr>
            </w:pPr>
            <w:r>
              <w:rPr>
                <w:rFonts w:eastAsiaTheme="minorEastAsia" w:cstheme="minorHAnsi"/>
              </w:rPr>
              <w:t>References 10</w:t>
            </w:r>
          </w:p>
          <w:p w14:paraId="3CA95733" w14:textId="1191E6CD" w:rsidR="00591342" w:rsidRPr="00082525" w:rsidRDefault="00591342" w:rsidP="00591342">
            <w:pPr>
              <w:jc w:val="both"/>
              <w:rPr>
                <w:rFonts w:eastAsiaTheme="minorEastAsia" w:cstheme="minorHAnsi"/>
              </w:rPr>
            </w:pPr>
            <w:r w:rsidRPr="00082525">
              <w:rPr>
                <w:rFonts w:eastAsiaTheme="minorEastAsia" w:cstheme="minorHAnsi"/>
              </w:rPr>
              <w:t>Total Score:</w:t>
            </w:r>
            <w:r w:rsidRPr="00082525">
              <w:rPr>
                <w:rFonts w:eastAsiaTheme="minorEastAsia" w:cstheme="minorHAnsi"/>
              </w:rPr>
              <w:tab/>
              <w:t>100 (with passing score 75)</w:t>
            </w:r>
          </w:p>
          <w:p w14:paraId="478324C1" w14:textId="77777777" w:rsidR="00591342" w:rsidRPr="00082525" w:rsidRDefault="00591342" w:rsidP="00591342">
            <w:pPr>
              <w:jc w:val="both"/>
              <w:rPr>
                <w:rFonts w:eastAsiaTheme="minorEastAsia" w:cstheme="minorHAnsi"/>
              </w:rPr>
            </w:pPr>
          </w:p>
          <w:p w14:paraId="6CCFF43A" w14:textId="0D25E92B" w:rsidR="008875F9" w:rsidRPr="0024567C" w:rsidRDefault="00591342" w:rsidP="00591342">
            <w:pPr>
              <w:jc w:val="both"/>
              <w:rPr>
                <w:rFonts w:asciiTheme="minorHAnsi" w:eastAsia="Times New Roman" w:hAnsiTheme="minorHAnsi" w:cstheme="minorHAnsi"/>
                <w:color w:val="auto"/>
                <w:lang w:eastAsia="en-GB"/>
              </w:rPr>
            </w:pPr>
            <w:r w:rsidRPr="00082525">
              <w:rPr>
                <w:rFonts w:eastAsiaTheme="minorEastAsia" w:cstheme="minorHAnsi"/>
              </w:rPr>
              <w:t xml:space="preserve">The proposal obtaining the highest overall score after adding the scores for the technical and financial proposals together, that offers the best value for money will be recommended for award of the contract. A cumulative analysis will be used to evaluate and award proposals.  The evaluation criteria associated with this TOR is </w:t>
            </w:r>
            <w:r w:rsidRPr="00082525">
              <w:rPr>
                <w:rFonts w:eastAsiaTheme="minorEastAsia" w:cstheme="minorHAnsi"/>
              </w:rPr>
              <w:lastRenderedPageBreak/>
              <w:t>split between technical and financial as follows: 75% Technical, 25% Financial with 100 % Total.</w:t>
            </w:r>
          </w:p>
        </w:tc>
      </w:tr>
    </w:tbl>
    <w:p w14:paraId="5F728691" w14:textId="32708240" w:rsidR="006D7DDE" w:rsidRDefault="006D7DDE" w:rsidP="006D7DDE">
      <w:pPr>
        <w:rPr>
          <w:color w:val="auto"/>
        </w:rPr>
      </w:pPr>
      <w:r w:rsidRPr="006D7DDE">
        <w:rPr>
          <w:color w:val="auto"/>
        </w:rPr>
        <w:lastRenderedPageBreak/>
        <w:t xml:space="preserve">In the event of unsatisfactory performance, UNICEF reserves the right to terminate the Agreement. In case of partially satisfactory performance, such as serious delays causing the negative impact on meeting the programme objectives, low </w:t>
      </w:r>
      <w:proofErr w:type="gramStart"/>
      <w:r w:rsidRPr="006D7DDE">
        <w:rPr>
          <w:color w:val="auto"/>
        </w:rPr>
        <w:t>quality</w:t>
      </w:r>
      <w:proofErr w:type="gramEnd"/>
      <w:r w:rsidRPr="006D7DDE">
        <w:rPr>
          <w:color w:val="auto"/>
        </w:rPr>
        <w:t xml:space="preserve"> or insufficient depth and/or scope of the assignment completion, UNICEF is entitled to decrease the payment by the range from 30% to 50% of the contract value as decided jointly by the Contract Supervisor and Operations Manager.</w:t>
      </w:r>
    </w:p>
    <w:p w14:paraId="59FF09C1" w14:textId="77777777" w:rsidR="006D7DDE" w:rsidRPr="006D7DDE" w:rsidRDefault="006D7DDE" w:rsidP="006D7DDE">
      <w:pPr>
        <w:rPr>
          <w:color w:val="auto"/>
        </w:rPr>
      </w:pPr>
    </w:p>
    <w:p w14:paraId="789ACA3A" w14:textId="77777777" w:rsidR="006D7DDE" w:rsidRPr="006D7DDE" w:rsidRDefault="006D7DDE">
      <w:pPr>
        <w:rPr>
          <w:b/>
          <w:bCs/>
          <w:color w:val="auto"/>
          <w:lang w:val="en-GB"/>
        </w:rPr>
      </w:pPr>
    </w:p>
    <w:p w14:paraId="2EF913AD" w14:textId="0503642A" w:rsidR="00E2448D" w:rsidRPr="00E2448D" w:rsidRDefault="00E2448D">
      <w:pPr>
        <w:rPr>
          <w:b/>
          <w:bCs/>
          <w:color w:val="auto"/>
        </w:rPr>
      </w:pPr>
      <w:r w:rsidRPr="00E2448D">
        <w:rPr>
          <w:b/>
          <w:bCs/>
          <w:color w:val="auto"/>
        </w:rPr>
        <w:t xml:space="preserve">Individuals engaged under a consultancy or individual contract will not be considered “staff members” under the Staff Regulations and Rules of the United Nations and UNICEF’s policies and </w:t>
      </w:r>
      <w:r w:rsidR="00E30C9F" w:rsidRPr="00E2448D">
        <w:rPr>
          <w:b/>
          <w:bCs/>
          <w:color w:val="auto"/>
        </w:rPr>
        <w:t>procedures and</w:t>
      </w:r>
      <w:r w:rsidRPr="00E2448D">
        <w:rPr>
          <w:b/>
          <w:bCs/>
          <w:color w:val="auto"/>
        </w:rPr>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297A7EA8" w14:textId="77777777" w:rsidR="00E2448D" w:rsidRDefault="00E2448D">
      <w:pPr>
        <w:rPr>
          <w:b/>
          <w:bCs/>
          <w:color w:val="FF0000"/>
        </w:rPr>
      </w:pPr>
    </w:p>
    <w:p w14:paraId="1D01909C" w14:textId="77777777" w:rsidR="00E2448D" w:rsidRDefault="00E2448D">
      <w:pPr>
        <w:rPr>
          <w:b/>
          <w:bCs/>
          <w:color w:val="FF0000"/>
        </w:rPr>
      </w:pPr>
    </w:p>
    <w:p w14:paraId="6A9C38E1" w14:textId="77777777" w:rsidR="007613B3" w:rsidRPr="007613B3" w:rsidRDefault="007613B3" w:rsidP="00B6480A">
      <w:pPr>
        <w:rPr>
          <w:rFonts w:ascii="Calibri" w:eastAsia="Arial Unicode MS" w:hAnsi="Calibri" w:cs="Calibri"/>
        </w:rPr>
      </w:pPr>
    </w:p>
    <w:sectPr w:rsidR="007613B3" w:rsidRPr="007613B3"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9A96" w14:textId="77777777" w:rsidR="00DF2393" w:rsidRDefault="00DF2393" w:rsidP="000C3710">
      <w:r>
        <w:separator/>
      </w:r>
    </w:p>
  </w:endnote>
  <w:endnote w:type="continuationSeparator" w:id="0">
    <w:p w14:paraId="376CDA4C" w14:textId="77777777" w:rsidR="00DF2393" w:rsidRDefault="00DF2393"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0F7ED0" w:rsidRPr="00A71AB3" w:rsidRDefault="000F7ED0"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0F7ED0" w:rsidRPr="00B02636" w:rsidRDefault="000F7ED0" w:rsidP="009247BD">
                          <w:pPr>
                            <w:pStyle w:val="AddressText"/>
                            <w:spacing w:line="240" w:lineRule="auto"/>
                            <w:rPr>
                              <w:color w:val="00B0F0"/>
                            </w:rPr>
                          </w:pPr>
                        </w:p>
                        <w:p w14:paraId="1124A3CE" w14:textId="77777777" w:rsidR="000F7ED0" w:rsidRPr="00A0375D" w:rsidRDefault="000F7ED0" w:rsidP="009247BD">
                          <w:pPr>
                            <w:pStyle w:val="AddressText"/>
                            <w:spacing w:line="240" w:lineRule="auto"/>
                            <w:rPr>
                              <w:color w:val="000000"/>
                            </w:rPr>
                          </w:pPr>
                        </w:p>
                        <w:p w14:paraId="45ACDF57" w14:textId="77777777" w:rsidR="000F7ED0" w:rsidRPr="00A0375D" w:rsidRDefault="000F7ED0" w:rsidP="009247BD">
                          <w:pPr>
                            <w:pStyle w:val="AddressText"/>
                            <w:spacing w:line="240" w:lineRule="auto"/>
                            <w:rPr>
                              <w:color w:val="000000"/>
                            </w:rPr>
                          </w:pPr>
                        </w:p>
                        <w:p w14:paraId="1400EDB7" w14:textId="77777777" w:rsidR="000F7ED0" w:rsidRPr="00A0375D" w:rsidRDefault="000F7ED0" w:rsidP="009247BD">
                          <w:pPr>
                            <w:pStyle w:val="AddressText"/>
                            <w:spacing w:line="240" w:lineRule="auto"/>
                            <w:rPr>
                              <w:color w:val="000000"/>
                            </w:rPr>
                          </w:pPr>
                        </w:p>
                        <w:p w14:paraId="02AC488C" w14:textId="77777777" w:rsidR="000F7ED0" w:rsidRPr="00A0375D" w:rsidRDefault="000F7ED0" w:rsidP="009247BD">
                          <w:pPr>
                            <w:pStyle w:val="AddressText"/>
                            <w:spacing w:line="240" w:lineRule="auto"/>
                            <w:rPr>
                              <w:color w:val="000000"/>
                            </w:rPr>
                          </w:pPr>
                        </w:p>
                        <w:p w14:paraId="2667C5C7" w14:textId="77777777" w:rsidR="000F7ED0" w:rsidRPr="00A0375D" w:rsidRDefault="000F7ED0"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0F7ED0" w:rsidRPr="00B02636" w:rsidRDefault="000F7ED0" w:rsidP="009247BD">
                    <w:pPr>
                      <w:pStyle w:val="AddressText"/>
                      <w:spacing w:line="240" w:lineRule="auto"/>
                      <w:rPr>
                        <w:color w:val="00B0F0"/>
                      </w:rPr>
                    </w:pPr>
                  </w:p>
                  <w:p w14:paraId="1124A3CE" w14:textId="77777777" w:rsidR="000F7ED0" w:rsidRPr="00A0375D" w:rsidRDefault="000F7ED0" w:rsidP="009247BD">
                    <w:pPr>
                      <w:pStyle w:val="AddressText"/>
                      <w:spacing w:line="240" w:lineRule="auto"/>
                      <w:rPr>
                        <w:color w:val="000000"/>
                      </w:rPr>
                    </w:pPr>
                  </w:p>
                  <w:p w14:paraId="45ACDF57" w14:textId="77777777" w:rsidR="000F7ED0" w:rsidRPr="00A0375D" w:rsidRDefault="000F7ED0" w:rsidP="009247BD">
                    <w:pPr>
                      <w:pStyle w:val="AddressText"/>
                      <w:spacing w:line="240" w:lineRule="auto"/>
                      <w:rPr>
                        <w:color w:val="000000"/>
                      </w:rPr>
                    </w:pPr>
                  </w:p>
                  <w:p w14:paraId="1400EDB7" w14:textId="77777777" w:rsidR="000F7ED0" w:rsidRPr="00A0375D" w:rsidRDefault="000F7ED0" w:rsidP="009247BD">
                    <w:pPr>
                      <w:pStyle w:val="AddressText"/>
                      <w:spacing w:line="240" w:lineRule="auto"/>
                      <w:rPr>
                        <w:color w:val="000000"/>
                      </w:rPr>
                    </w:pPr>
                  </w:p>
                  <w:p w14:paraId="02AC488C" w14:textId="77777777" w:rsidR="000F7ED0" w:rsidRPr="00A0375D" w:rsidRDefault="000F7ED0" w:rsidP="009247BD">
                    <w:pPr>
                      <w:pStyle w:val="AddressText"/>
                      <w:spacing w:line="240" w:lineRule="auto"/>
                      <w:rPr>
                        <w:color w:val="000000"/>
                      </w:rPr>
                    </w:pPr>
                  </w:p>
                  <w:p w14:paraId="2667C5C7" w14:textId="77777777" w:rsidR="000F7ED0" w:rsidRPr="00A0375D" w:rsidRDefault="000F7ED0" w:rsidP="009247BD">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8ECF" w14:textId="77777777" w:rsidR="00DF2393" w:rsidRDefault="00DF2393" w:rsidP="000C3710">
      <w:r>
        <w:separator/>
      </w:r>
    </w:p>
  </w:footnote>
  <w:footnote w:type="continuationSeparator" w:id="0">
    <w:p w14:paraId="3637D162" w14:textId="77777777" w:rsidR="00DF2393" w:rsidRDefault="00DF2393"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0F7ED0" w:rsidRDefault="000F7ED0"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64D56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0F7ED0" w:rsidRPr="0075490C" w:rsidRDefault="000F7ED0" w:rsidP="0075490C">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9E7C01"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0F7ED0" w:rsidRDefault="000F7ED0">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0F7ED0" w:rsidRPr="001637C2" w:rsidRDefault="000F7ED0"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0F7ED0" w:rsidRPr="00B02636" w:rsidRDefault="000F7ED0"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0F7ED0" w:rsidRPr="00B02636" w:rsidRDefault="000F7ED0" w:rsidP="00962F0B">
                          <w:pPr>
                            <w:pStyle w:val="AddressText"/>
                            <w:spacing w:line="240" w:lineRule="auto"/>
                            <w:jc w:val="both"/>
                            <w:rPr>
                              <w:color w:val="00B0F0"/>
                            </w:rPr>
                          </w:pPr>
                        </w:p>
                        <w:p w14:paraId="0C8D7EA7" w14:textId="77777777" w:rsidR="000F7ED0" w:rsidRPr="00A0375D" w:rsidRDefault="000F7ED0" w:rsidP="00962F0B">
                          <w:pPr>
                            <w:pStyle w:val="AddressText"/>
                            <w:spacing w:line="240" w:lineRule="auto"/>
                            <w:jc w:val="both"/>
                            <w:rPr>
                              <w:color w:val="000000"/>
                            </w:rPr>
                          </w:pPr>
                        </w:p>
                        <w:p w14:paraId="2B409760" w14:textId="77777777" w:rsidR="000F7ED0" w:rsidRPr="00A0375D" w:rsidRDefault="000F7ED0" w:rsidP="00962F0B">
                          <w:pPr>
                            <w:pStyle w:val="AddressText"/>
                            <w:spacing w:line="240" w:lineRule="auto"/>
                            <w:jc w:val="both"/>
                            <w:rPr>
                              <w:color w:val="000000"/>
                            </w:rPr>
                          </w:pPr>
                        </w:p>
                        <w:p w14:paraId="67FBF505" w14:textId="77777777" w:rsidR="000F7ED0" w:rsidRPr="00A0375D" w:rsidRDefault="000F7ED0" w:rsidP="00962F0B">
                          <w:pPr>
                            <w:pStyle w:val="AddressText"/>
                            <w:spacing w:line="240" w:lineRule="auto"/>
                            <w:jc w:val="both"/>
                            <w:rPr>
                              <w:color w:val="000000"/>
                            </w:rPr>
                          </w:pPr>
                        </w:p>
                        <w:p w14:paraId="47F3B508" w14:textId="77777777" w:rsidR="000F7ED0" w:rsidRPr="00A0375D" w:rsidRDefault="000F7ED0" w:rsidP="00962F0B">
                          <w:pPr>
                            <w:pStyle w:val="AddressText"/>
                            <w:spacing w:line="240" w:lineRule="auto"/>
                            <w:jc w:val="both"/>
                            <w:rPr>
                              <w:color w:val="000000"/>
                            </w:rPr>
                          </w:pPr>
                        </w:p>
                        <w:p w14:paraId="6B74C32E" w14:textId="77777777" w:rsidR="000F7ED0" w:rsidRPr="00A0375D" w:rsidRDefault="000F7ED0"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0F7ED0" w:rsidRPr="001637C2" w:rsidRDefault="000F7ED0"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0F7ED0" w:rsidRPr="00B02636" w:rsidRDefault="000F7ED0"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0F7ED0" w:rsidRPr="00B02636" w:rsidRDefault="000F7ED0" w:rsidP="00962F0B">
                    <w:pPr>
                      <w:pStyle w:val="AddressText"/>
                      <w:spacing w:line="240" w:lineRule="auto"/>
                      <w:jc w:val="both"/>
                      <w:rPr>
                        <w:color w:val="00B0F0"/>
                      </w:rPr>
                    </w:pPr>
                  </w:p>
                  <w:p w14:paraId="0C8D7EA7" w14:textId="77777777" w:rsidR="000F7ED0" w:rsidRPr="00A0375D" w:rsidRDefault="000F7ED0" w:rsidP="00962F0B">
                    <w:pPr>
                      <w:pStyle w:val="AddressText"/>
                      <w:spacing w:line="240" w:lineRule="auto"/>
                      <w:jc w:val="both"/>
                      <w:rPr>
                        <w:color w:val="000000"/>
                      </w:rPr>
                    </w:pPr>
                  </w:p>
                  <w:p w14:paraId="2B409760" w14:textId="77777777" w:rsidR="000F7ED0" w:rsidRPr="00A0375D" w:rsidRDefault="000F7ED0" w:rsidP="00962F0B">
                    <w:pPr>
                      <w:pStyle w:val="AddressText"/>
                      <w:spacing w:line="240" w:lineRule="auto"/>
                      <w:jc w:val="both"/>
                      <w:rPr>
                        <w:color w:val="000000"/>
                      </w:rPr>
                    </w:pPr>
                  </w:p>
                  <w:p w14:paraId="67FBF505" w14:textId="77777777" w:rsidR="000F7ED0" w:rsidRPr="00A0375D" w:rsidRDefault="000F7ED0" w:rsidP="00962F0B">
                    <w:pPr>
                      <w:pStyle w:val="AddressText"/>
                      <w:spacing w:line="240" w:lineRule="auto"/>
                      <w:jc w:val="both"/>
                      <w:rPr>
                        <w:color w:val="000000"/>
                      </w:rPr>
                    </w:pPr>
                  </w:p>
                  <w:p w14:paraId="47F3B508" w14:textId="77777777" w:rsidR="000F7ED0" w:rsidRPr="00A0375D" w:rsidRDefault="000F7ED0" w:rsidP="00962F0B">
                    <w:pPr>
                      <w:pStyle w:val="AddressText"/>
                      <w:spacing w:line="240" w:lineRule="auto"/>
                      <w:jc w:val="both"/>
                      <w:rPr>
                        <w:color w:val="000000"/>
                      </w:rPr>
                    </w:pPr>
                  </w:p>
                  <w:p w14:paraId="6B74C32E" w14:textId="77777777" w:rsidR="000F7ED0" w:rsidRPr="00A0375D" w:rsidRDefault="000F7ED0"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1C8"/>
    <w:multiLevelType w:val="hybridMultilevel"/>
    <w:tmpl w:val="05C2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8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4A70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16DC6"/>
    <w:multiLevelType w:val="multilevel"/>
    <w:tmpl w:val="F87A0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7E626B"/>
    <w:multiLevelType w:val="hybridMultilevel"/>
    <w:tmpl w:val="C4EC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09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C212E5"/>
    <w:multiLevelType w:val="multilevel"/>
    <w:tmpl w:val="1BE6C594"/>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5228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B439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AE32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2F7717"/>
    <w:multiLevelType w:val="hybridMultilevel"/>
    <w:tmpl w:val="678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99780C"/>
    <w:multiLevelType w:val="hybridMultilevel"/>
    <w:tmpl w:val="3B348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473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7890378"/>
    <w:multiLevelType w:val="hybridMultilevel"/>
    <w:tmpl w:val="A8E25D6A"/>
    <w:lvl w:ilvl="0" w:tplc="AA167A32">
      <w:start w:val="1"/>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3"/>
  </w:num>
  <w:num w:numId="4">
    <w:abstractNumId w:val="2"/>
  </w:num>
  <w:num w:numId="5">
    <w:abstractNumId w:val="8"/>
  </w:num>
  <w:num w:numId="6">
    <w:abstractNumId w:val="6"/>
  </w:num>
  <w:num w:numId="7">
    <w:abstractNumId w:val="1"/>
  </w:num>
  <w:num w:numId="8">
    <w:abstractNumId w:val="9"/>
  </w:num>
  <w:num w:numId="9">
    <w:abstractNumId w:val="5"/>
  </w:num>
  <w:num w:numId="10">
    <w:abstractNumId w:val="7"/>
  </w:num>
  <w:num w:numId="11">
    <w:abstractNumId w:val="0"/>
  </w:num>
  <w:num w:numId="12">
    <w:abstractNumId w:val="11"/>
  </w:num>
  <w:num w:numId="13">
    <w:abstractNumId w:val="4"/>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2E64"/>
    <w:rsid w:val="000035B3"/>
    <w:rsid w:val="00007E4A"/>
    <w:rsid w:val="00011F3E"/>
    <w:rsid w:val="00020804"/>
    <w:rsid w:val="000241D1"/>
    <w:rsid w:val="00025C0D"/>
    <w:rsid w:val="00025F29"/>
    <w:rsid w:val="00030834"/>
    <w:rsid w:val="000310DE"/>
    <w:rsid w:val="000415E9"/>
    <w:rsid w:val="0004433C"/>
    <w:rsid w:val="00056A18"/>
    <w:rsid w:val="000576DC"/>
    <w:rsid w:val="00066CAF"/>
    <w:rsid w:val="00076437"/>
    <w:rsid w:val="00082525"/>
    <w:rsid w:val="000947CE"/>
    <w:rsid w:val="00096574"/>
    <w:rsid w:val="000A7045"/>
    <w:rsid w:val="000B07B1"/>
    <w:rsid w:val="000B1810"/>
    <w:rsid w:val="000B5829"/>
    <w:rsid w:val="000C3710"/>
    <w:rsid w:val="000C61F2"/>
    <w:rsid w:val="000C6B2C"/>
    <w:rsid w:val="000D6CA1"/>
    <w:rsid w:val="000E1755"/>
    <w:rsid w:val="000E3253"/>
    <w:rsid w:val="000E414F"/>
    <w:rsid w:val="000E4D76"/>
    <w:rsid w:val="000E6DCA"/>
    <w:rsid w:val="000F6440"/>
    <w:rsid w:val="000F7ED0"/>
    <w:rsid w:val="00106759"/>
    <w:rsid w:val="00107B7A"/>
    <w:rsid w:val="00111026"/>
    <w:rsid w:val="00112DEE"/>
    <w:rsid w:val="00152497"/>
    <w:rsid w:val="00152CD7"/>
    <w:rsid w:val="001555CD"/>
    <w:rsid w:val="0015752C"/>
    <w:rsid w:val="0015757A"/>
    <w:rsid w:val="00157D62"/>
    <w:rsid w:val="001637C2"/>
    <w:rsid w:val="00164C95"/>
    <w:rsid w:val="00165278"/>
    <w:rsid w:val="00165C9B"/>
    <w:rsid w:val="00175E9C"/>
    <w:rsid w:val="00176711"/>
    <w:rsid w:val="00177FE4"/>
    <w:rsid w:val="00180411"/>
    <w:rsid w:val="00182C1C"/>
    <w:rsid w:val="0018375D"/>
    <w:rsid w:val="00183FA9"/>
    <w:rsid w:val="00184C9E"/>
    <w:rsid w:val="00186E13"/>
    <w:rsid w:val="00196DC7"/>
    <w:rsid w:val="001A4B63"/>
    <w:rsid w:val="001B190C"/>
    <w:rsid w:val="001B5D66"/>
    <w:rsid w:val="001C426D"/>
    <w:rsid w:val="001E112E"/>
    <w:rsid w:val="001E7405"/>
    <w:rsid w:val="001E74EA"/>
    <w:rsid w:val="001F651F"/>
    <w:rsid w:val="002015CD"/>
    <w:rsid w:val="00203A5A"/>
    <w:rsid w:val="002072D5"/>
    <w:rsid w:val="00213A86"/>
    <w:rsid w:val="00215E5E"/>
    <w:rsid w:val="0022002C"/>
    <w:rsid w:val="0022123C"/>
    <w:rsid w:val="00222524"/>
    <w:rsid w:val="00222F56"/>
    <w:rsid w:val="00225D28"/>
    <w:rsid w:val="00234AD4"/>
    <w:rsid w:val="0024025F"/>
    <w:rsid w:val="00244FA1"/>
    <w:rsid w:val="0024567C"/>
    <w:rsid w:val="00245D56"/>
    <w:rsid w:val="002460BE"/>
    <w:rsid w:val="00247353"/>
    <w:rsid w:val="00255352"/>
    <w:rsid w:val="0025609A"/>
    <w:rsid w:val="00257BD7"/>
    <w:rsid w:val="002639FA"/>
    <w:rsid w:val="002659AE"/>
    <w:rsid w:val="0026644B"/>
    <w:rsid w:val="00275AAA"/>
    <w:rsid w:val="00277BE7"/>
    <w:rsid w:val="00285811"/>
    <w:rsid w:val="00293255"/>
    <w:rsid w:val="002952E4"/>
    <w:rsid w:val="002A08F3"/>
    <w:rsid w:val="002A2B2E"/>
    <w:rsid w:val="002B2A26"/>
    <w:rsid w:val="002B6832"/>
    <w:rsid w:val="002B7647"/>
    <w:rsid w:val="002B7E57"/>
    <w:rsid w:val="002C5AA6"/>
    <w:rsid w:val="002D0C54"/>
    <w:rsid w:val="002D16CD"/>
    <w:rsid w:val="002D3098"/>
    <w:rsid w:val="002D38E9"/>
    <w:rsid w:val="002D4DEF"/>
    <w:rsid w:val="002D5F7A"/>
    <w:rsid w:val="002D62E4"/>
    <w:rsid w:val="002D74EB"/>
    <w:rsid w:val="002D7D3A"/>
    <w:rsid w:val="002E443D"/>
    <w:rsid w:val="002E7F09"/>
    <w:rsid w:val="002F2367"/>
    <w:rsid w:val="002F2DE7"/>
    <w:rsid w:val="002F3B72"/>
    <w:rsid w:val="002F55C5"/>
    <w:rsid w:val="002F62CC"/>
    <w:rsid w:val="00304A84"/>
    <w:rsid w:val="00306E1E"/>
    <w:rsid w:val="003117C2"/>
    <w:rsid w:val="0032055A"/>
    <w:rsid w:val="00320886"/>
    <w:rsid w:val="0032151B"/>
    <w:rsid w:val="003414FC"/>
    <w:rsid w:val="00342593"/>
    <w:rsid w:val="0034354C"/>
    <w:rsid w:val="00353547"/>
    <w:rsid w:val="00354CED"/>
    <w:rsid w:val="00360C89"/>
    <w:rsid w:val="00361834"/>
    <w:rsid w:val="003655B8"/>
    <w:rsid w:val="00366D55"/>
    <w:rsid w:val="0037152D"/>
    <w:rsid w:val="00372648"/>
    <w:rsid w:val="00372E4B"/>
    <w:rsid w:val="00373453"/>
    <w:rsid w:val="0037425C"/>
    <w:rsid w:val="00377BF5"/>
    <w:rsid w:val="00377E69"/>
    <w:rsid w:val="0038200F"/>
    <w:rsid w:val="00396BF0"/>
    <w:rsid w:val="003A00B6"/>
    <w:rsid w:val="003A3098"/>
    <w:rsid w:val="003A3FAC"/>
    <w:rsid w:val="003B2F45"/>
    <w:rsid w:val="003B3F83"/>
    <w:rsid w:val="003B52AA"/>
    <w:rsid w:val="003B7251"/>
    <w:rsid w:val="003C1BC1"/>
    <w:rsid w:val="003C4672"/>
    <w:rsid w:val="003C48FF"/>
    <w:rsid w:val="003C7A67"/>
    <w:rsid w:val="003D012F"/>
    <w:rsid w:val="003D04D3"/>
    <w:rsid w:val="003D0F6C"/>
    <w:rsid w:val="003D2BCF"/>
    <w:rsid w:val="003D3323"/>
    <w:rsid w:val="003D42F1"/>
    <w:rsid w:val="003E4220"/>
    <w:rsid w:val="003E458A"/>
    <w:rsid w:val="003E7E75"/>
    <w:rsid w:val="004056E5"/>
    <w:rsid w:val="00407258"/>
    <w:rsid w:val="00407853"/>
    <w:rsid w:val="00411F46"/>
    <w:rsid w:val="00412B90"/>
    <w:rsid w:val="004160E9"/>
    <w:rsid w:val="00416141"/>
    <w:rsid w:val="00422305"/>
    <w:rsid w:val="00423D11"/>
    <w:rsid w:val="00433411"/>
    <w:rsid w:val="00435718"/>
    <w:rsid w:val="00435AB0"/>
    <w:rsid w:val="0043646D"/>
    <w:rsid w:val="004370D0"/>
    <w:rsid w:val="004429D6"/>
    <w:rsid w:val="00445CFF"/>
    <w:rsid w:val="00466418"/>
    <w:rsid w:val="00472BBD"/>
    <w:rsid w:val="004809D8"/>
    <w:rsid w:val="00481D11"/>
    <w:rsid w:val="00493007"/>
    <w:rsid w:val="004A0BFE"/>
    <w:rsid w:val="004A38E0"/>
    <w:rsid w:val="004A4526"/>
    <w:rsid w:val="004A4935"/>
    <w:rsid w:val="004A64C8"/>
    <w:rsid w:val="004A6CA6"/>
    <w:rsid w:val="004B14E0"/>
    <w:rsid w:val="004B276A"/>
    <w:rsid w:val="004C1792"/>
    <w:rsid w:val="004D08C1"/>
    <w:rsid w:val="004D2245"/>
    <w:rsid w:val="004D5D35"/>
    <w:rsid w:val="004E2D0B"/>
    <w:rsid w:val="004E5F58"/>
    <w:rsid w:val="004E67BE"/>
    <w:rsid w:val="004F1A27"/>
    <w:rsid w:val="004F6E3D"/>
    <w:rsid w:val="00501ADC"/>
    <w:rsid w:val="005032F9"/>
    <w:rsid w:val="005075C6"/>
    <w:rsid w:val="00511A6E"/>
    <w:rsid w:val="00520210"/>
    <w:rsid w:val="00523923"/>
    <w:rsid w:val="005246DC"/>
    <w:rsid w:val="005356FF"/>
    <w:rsid w:val="0053629B"/>
    <w:rsid w:val="00537FBD"/>
    <w:rsid w:val="0054258B"/>
    <w:rsid w:val="00544027"/>
    <w:rsid w:val="00544A89"/>
    <w:rsid w:val="0054592E"/>
    <w:rsid w:val="00546854"/>
    <w:rsid w:val="00550787"/>
    <w:rsid w:val="00552D41"/>
    <w:rsid w:val="00554CA4"/>
    <w:rsid w:val="00560631"/>
    <w:rsid w:val="005608F9"/>
    <w:rsid w:val="00563DD2"/>
    <w:rsid w:val="005719D9"/>
    <w:rsid w:val="0057499F"/>
    <w:rsid w:val="00585CCE"/>
    <w:rsid w:val="00591246"/>
    <w:rsid w:val="00591342"/>
    <w:rsid w:val="005927AE"/>
    <w:rsid w:val="0059671E"/>
    <w:rsid w:val="005A2305"/>
    <w:rsid w:val="005A643C"/>
    <w:rsid w:val="005A7223"/>
    <w:rsid w:val="005B3739"/>
    <w:rsid w:val="005B39BA"/>
    <w:rsid w:val="005D071C"/>
    <w:rsid w:val="005D0BBF"/>
    <w:rsid w:val="005D177F"/>
    <w:rsid w:val="005E54EB"/>
    <w:rsid w:val="005E629A"/>
    <w:rsid w:val="005E6FE1"/>
    <w:rsid w:val="005F3AFC"/>
    <w:rsid w:val="006007DA"/>
    <w:rsid w:val="00616DEB"/>
    <w:rsid w:val="00624DDD"/>
    <w:rsid w:val="00625153"/>
    <w:rsid w:val="00626681"/>
    <w:rsid w:val="00632D59"/>
    <w:rsid w:val="00653E0C"/>
    <w:rsid w:val="00655D29"/>
    <w:rsid w:val="006579B7"/>
    <w:rsid w:val="00661BE1"/>
    <w:rsid w:val="006642C4"/>
    <w:rsid w:val="00674FCB"/>
    <w:rsid w:val="0068655C"/>
    <w:rsid w:val="006907A6"/>
    <w:rsid w:val="006921D1"/>
    <w:rsid w:val="006968C1"/>
    <w:rsid w:val="006A03D9"/>
    <w:rsid w:val="006A2945"/>
    <w:rsid w:val="006A5CFB"/>
    <w:rsid w:val="006B0798"/>
    <w:rsid w:val="006B4298"/>
    <w:rsid w:val="006B7F68"/>
    <w:rsid w:val="006C5703"/>
    <w:rsid w:val="006C688F"/>
    <w:rsid w:val="006C7D5A"/>
    <w:rsid w:val="006D1BD7"/>
    <w:rsid w:val="006D6C69"/>
    <w:rsid w:val="006D7DDE"/>
    <w:rsid w:val="006E3839"/>
    <w:rsid w:val="006E6D73"/>
    <w:rsid w:val="006F3357"/>
    <w:rsid w:val="006F3B0B"/>
    <w:rsid w:val="006F4EF8"/>
    <w:rsid w:val="007001DA"/>
    <w:rsid w:val="007022CD"/>
    <w:rsid w:val="0070263C"/>
    <w:rsid w:val="007027B9"/>
    <w:rsid w:val="007042DD"/>
    <w:rsid w:val="0070517F"/>
    <w:rsid w:val="00711C06"/>
    <w:rsid w:val="0071297F"/>
    <w:rsid w:val="00726DC3"/>
    <w:rsid w:val="00731F31"/>
    <w:rsid w:val="0073692D"/>
    <w:rsid w:val="00746FD9"/>
    <w:rsid w:val="0075490C"/>
    <w:rsid w:val="00756755"/>
    <w:rsid w:val="007613B3"/>
    <w:rsid w:val="00774438"/>
    <w:rsid w:val="007826F8"/>
    <w:rsid w:val="00791C47"/>
    <w:rsid w:val="007A3876"/>
    <w:rsid w:val="007A5779"/>
    <w:rsid w:val="007B6BF8"/>
    <w:rsid w:val="007C7F78"/>
    <w:rsid w:val="007D5968"/>
    <w:rsid w:val="007D7750"/>
    <w:rsid w:val="007E1B05"/>
    <w:rsid w:val="007E73F5"/>
    <w:rsid w:val="007F5507"/>
    <w:rsid w:val="00801C3E"/>
    <w:rsid w:val="0080603F"/>
    <w:rsid w:val="00806AF3"/>
    <w:rsid w:val="00806D23"/>
    <w:rsid w:val="00810C5E"/>
    <w:rsid w:val="00812FFA"/>
    <w:rsid w:val="00813D3A"/>
    <w:rsid w:val="008248A4"/>
    <w:rsid w:val="00825DC9"/>
    <w:rsid w:val="00826954"/>
    <w:rsid w:val="008275D1"/>
    <w:rsid w:val="008371ED"/>
    <w:rsid w:val="00845125"/>
    <w:rsid w:val="00861563"/>
    <w:rsid w:val="00873C12"/>
    <w:rsid w:val="00874551"/>
    <w:rsid w:val="00883D70"/>
    <w:rsid w:val="00884AE5"/>
    <w:rsid w:val="00884F21"/>
    <w:rsid w:val="00885771"/>
    <w:rsid w:val="008875F9"/>
    <w:rsid w:val="00887CF1"/>
    <w:rsid w:val="00896712"/>
    <w:rsid w:val="008B0A0B"/>
    <w:rsid w:val="008B3BDE"/>
    <w:rsid w:val="008C5761"/>
    <w:rsid w:val="008D6E87"/>
    <w:rsid w:val="008D79DD"/>
    <w:rsid w:val="008E375E"/>
    <w:rsid w:val="008F32FC"/>
    <w:rsid w:val="008F346F"/>
    <w:rsid w:val="008F3850"/>
    <w:rsid w:val="0090065A"/>
    <w:rsid w:val="00903E9D"/>
    <w:rsid w:val="00905953"/>
    <w:rsid w:val="00906E2A"/>
    <w:rsid w:val="009121BF"/>
    <w:rsid w:val="0091382D"/>
    <w:rsid w:val="009203FF"/>
    <w:rsid w:val="00922852"/>
    <w:rsid w:val="0092316D"/>
    <w:rsid w:val="009247BD"/>
    <w:rsid w:val="0092764D"/>
    <w:rsid w:val="009352C5"/>
    <w:rsid w:val="00935673"/>
    <w:rsid w:val="00935C16"/>
    <w:rsid w:val="00943EE1"/>
    <w:rsid w:val="0094522F"/>
    <w:rsid w:val="00950C56"/>
    <w:rsid w:val="009512AC"/>
    <w:rsid w:val="0095309F"/>
    <w:rsid w:val="00960405"/>
    <w:rsid w:val="00960715"/>
    <w:rsid w:val="0096249B"/>
    <w:rsid w:val="00962F0B"/>
    <w:rsid w:val="009637FF"/>
    <w:rsid w:val="00963C52"/>
    <w:rsid w:val="009657AF"/>
    <w:rsid w:val="00967BEB"/>
    <w:rsid w:val="00970EBD"/>
    <w:rsid w:val="00971635"/>
    <w:rsid w:val="00971C8A"/>
    <w:rsid w:val="009754D0"/>
    <w:rsid w:val="00975550"/>
    <w:rsid w:val="009764B1"/>
    <w:rsid w:val="00986C8B"/>
    <w:rsid w:val="00993BD5"/>
    <w:rsid w:val="009A1C63"/>
    <w:rsid w:val="009A4AF5"/>
    <w:rsid w:val="009B3C84"/>
    <w:rsid w:val="009B6BAC"/>
    <w:rsid w:val="009D5ED5"/>
    <w:rsid w:val="009E758D"/>
    <w:rsid w:val="009F0A24"/>
    <w:rsid w:val="00A01C49"/>
    <w:rsid w:val="00A0375D"/>
    <w:rsid w:val="00A11FA1"/>
    <w:rsid w:val="00A12675"/>
    <w:rsid w:val="00A15D12"/>
    <w:rsid w:val="00A333B7"/>
    <w:rsid w:val="00A3477D"/>
    <w:rsid w:val="00A41458"/>
    <w:rsid w:val="00A50E38"/>
    <w:rsid w:val="00A56EC7"/>
    <w:rsid w:val="00A6279B"/>
    <w:rsid w:val="00A65E45"/>
    <w:rsid w:val="00A665E2"/>
    <w:rsid w:val="00A716CC"/>
    <w:rsid w:val="00A71AB3"/>
    <w:rsid w:val="00A73543"/>
    <w:rsid w:val="00A7722C"/>
    <w:rsid w:val="00A80C16"/>
    <w:rsid w:val="00A8354D"/>
    <w:rsid w:val="00A87818"/>
    <w:rsid w:val="00A91577"/>
    <w:rsid w:val="00A94248"/>
    <w:rsid w:val="00AA2EC7"/>
    <w:rsid w:val="00AC083A"/>
    <w:rsid w:val="00AC3F30"/>
    <w:rsid w:val="00AC78AC"/>
    <w:rsid w:val="00AD176A"/>
    <w:rsid w:val="00AE48C4"/>
    <w:rsid w:val="00AE575B"/>
    <w:rsid w:val="00AF03D2"/>
    <w:rsid w:val="00AF077A"/>
    <w:rsid w:val="00AF38A0"/>
    <w:rsid w:val="00AF3B0E"/>
    <w:rsid w:val="00AF604B"/>
    <w:rsid w:val="00B00A5E"/>
    <w:rsid w:val="00B02636"/>
    <w:rsid w:val="00B05ABF"/>
    <w:rsid w:val="00B144BF"/>
    <w:rsid w:val="00B14BE6"/>
    <w:rsid w:val="00B17939"/>
    <w:rsid w:val="00B2081F"/>
    <w:rsid w:val="00B22FF0"/>
    <w:rsid w:val="00B25923"/>
    <w:rsid w:val="00B32C03"/>
    <w:rsid w:val="00B35723"/>
    <w:rsid w:val="00B37562"/>
    <w:rsid w:val="00B4127F"/>
    <w:rsid w:val="00B415E7"/>
    <w:rsid w:val="00B636C4"/>
    <w:rsid w:val="00B63E76"/>
    <w:rsid w:val="00B64363"/>
    <w:rsid w:val="00B6480A"/>
    <w:rsid w:val="00B66698"/>
    <w:rsid w:val="00B66F36"/>
    <w:rsid w:val="00B677D8"/>
    <w:rsid w:val="00B67FAB"/>
    <w:rsid w:val="00B73CE1"/>
    <w:rsid w:val="00B814B7"/>
    <w:rsid w:val="00B81D33"/>
    <w:rsid w:val="00B84938"/>
    <w:rsid w:val="00B84AF8"/>
    <w:rsid w:val="00B90144"/>
    <w:rsid w:val="00B96CAE"/>
    <w:rsid w:val="00B976E4"/>
    <w:rsid w:val="00BB1006"/>
    <w:rsid w:val="00BB109A"/>
    <w:rsid w:val="00BB4A6F"/>
    <w:rsid w:val="00BB6DD6"/>
    <w:rsid w:val="00BC0092"/>
    <w:rsid w:val="00BC06E9"/>
    <w:rsid w:val="00BC6A86"/>
    <w:rsid w:val="00BC7BF5"/>
    <w:rsid w:val="00BE5EB8"/>
    <w:rsid w:val="00BF2047"/>
    <w:rsid w:val="00BF605F"/>
    <w:rsid w:val="00C03F78"/>
    <w:rsid w:val="00C046B2"/>
    <w:rsid w:val="00C07B8D"/>
    <w:rsid w:val="00C12AE3"/>
    <w:rsid w:val="00C25DC0"/>
    <w:rsid w:val="00C3492E"/>
    <w:rsid w:val="00C34C2B"/>
    <w:rsid w:val="00C401E7"/>
    <w:rsid w:val="00C41ED0"/>
    <w:rsid w:val="00C448ED"/>
    <w:rsid w:val="00C45DC0"/>
    <w:rsid w:val="00C47D08"/>
    <w:rsid w:val="00C62EFB"/>
    <w:rsid w:val="00C63E47"/>
    <w:rsid w:val="00C6473C"/>
    <w:rsid w:val="00C64BB7"/>
    <w:rsid w:val="00C67879"/>
    <w:rsid w:val="00C740F7"/>
    <w:rsid w:val="00C756A2"/>
    <w:rsid w:val="00C75D4C"/>
    <w:rsid w:val="00C77B32"/>
    <w:rsid w:val="00C83B20"/>
    <w:rsid w:val="00C92726"/>
    <w:rsid w:val="00C972F8"/>
    <w:rsid w:val="00CA1084"/>
    <w:rsid w:val="00CA2615"/>
    <w:rsid w:val="00CA4819"/>
    <w:rsid w:val="00CA6538"/>
    <w:rsid w:val="00CB3A47"/>
    <w:rsid w:val="00CD3149"/>
    <w:rsid w:val="00CD3E5C"/>
    <w:rsid w:val="00CE1040"/>
    <w:rsid w:val="00CE46A7"/>
    <w:rsid w:val="00CE769B"/>
    <w:rsid w:val="00CF6B09"/>
    <w:rsid w:val="00D01167"/>
    <w:rsid w:val="00D03797"/>
    <w:rsid w:val="00D042EF"/>
    <w:rsid w:val="00D05933"/>
    <w:rsid w:val="00D0723A"/>
    <w:rsid w:val="00D2104F"/>
    <w:rsid w:val="00D2224F"/>
    <w:rsid w:val="00D24E21"/>
    <w:rsid w:val="00D26336"/>
    <w:rsid w:val="00D32FBE"/>
    <w:rsid w:val="00D3303B"/>
    <w:rsid w:val="00D35998"/>
    <w:rsid w:val="00D43172"/>
    <w:rsid w:val="00D43C6D"/>
    <w:rsid w:val="00D460BE"/>
    <w:rsid w:val="00D5258E"/>
    <w:rsid w:val="00D541BC"/>
    <w:rsid w:val="00D566C9"/>
    <w:rsid w:val="00D568B1"/>
    <w:rsid w:val="00D61A9A"/>
    <w:rsid w:val="00D64897"/>
    <w:rsid w:val="00D67207"/>
    <w:rsid w:val="00D675C4"/>
    <w:rsid w:val="00D67A98"/>
    <w:rsid w:val="00D72E5E"/>
    <w:rsid w:val="00D84097"/>
    <w:rsid w:val="00D86D91"/>
    <w:rsid w:val="00D92AE1"/>
    <w:rsid w:val="00D966F6"/>
    <w:rsid w:val="00DA75EA"/>
    <w:rsid w:val="00DB4663"/>
    <w:rsid w:val="00DC6936"/>
    <w:rsid w:val="00DE40E3"/>
    <w:rsid w:val="00DF2393"/>
    <w:rsid w:val="00E00B53"/>
    <w:rsid w:val="00E04BB0"/>
    <w:rsid w:val="00E10BAB"/>
    <w:rsid w:val="00E12A1A"/>
    <w:rsid w:val="00E135F0"/>
    <w:rsid w:val="00E13740"/>
    <w:rsid w:val="00E170D5"/>
    <w:rsid w:val="00E2153C"/>
    <w:rsid w:val="00E23FEC"/>
    <w:rsid w:val="00E2448D"/>
    <w:rsid w:val="00E24709"/>
    <w:rsid w:val="00E30C9F"/>
    <w:rsid w:val="00E377F9"/>
    <w:rsid w:val="00E37EEF"/>
    <w:rsid w:val="00E43557"/>
    <w:rsid w:val="00E5163F"/>
    <w:rsid w:val="00E54A5D"/>
    <w:rsid w:val="00E54CBF"/>
    <w:rsid w:val="00E55B2F"/>
    <w:rsid w:val="00E56B3C"/>
    <w:rsid w:val="00E612AA"/>
    <w:rsid w:val="00E61D56"/>
    <w:rsid w:val="00E630F3"/>
    <w:rsid w:val="00E6416D"/>
    <w:rsid w:val="00E654DC"/>
    <w:rsid w:val="00E74F10"/>
    <w:rsid w:val="00E82A93"/>
    <w:rsid w:val="00E9513E"/>
    <w:rsid w:val="00EA6D4D"/>
    <w:rsid w:val="00EB76A6"/>
    <w:rsid w:val="00EC5E3A"/>
    <w:rsid w:val="00ED613F"/>
    <w:rsid w:val="00EE3A60"/>
    <w:rsid w:val="00EE6981"/>
    <w:rsid w:val="00EE7747"/>
    <w:rsid w:val="00EF5A83"/>
    <w:rsid w:val="00EF6D31"/>
    <w:rsid w:val="00F01142"/>
    <w:rsid w:val="00F027D0"/>
    <w:rsid w:val="00F2296D"/>
    <w:rsid w:val="00F2300E"/>
    <w:rsid w:val="00F23BCB"/>
    <w:rsid w:val="00F24528"/>
    <w:rsid w:val="00F246C3"/>
    <w:rsid w:val="00F31886"/>
    <w:rsid w:val="00F349B0"/>
    <w:rsid w:val="00F35E74"/>
    <w:rsid w:val="00F36A7C"/>
    <w:rsid w:val="00F46D07"/>
    <w:rsid w:val="00F47AD2"/>
    <w:rsid w:val="00F509A4"/>
    <w:rsid w:val="00F63B09"/>
    <w:rsid w:val="00F6784B"/>
    <w:rsid w:val="00F7484C"/>
    <w:rsid w:val="00F75F11"/>
    <w:rsid w:val="00F834BF"/>
    <w:rsid w:val="00F8439C"/>
    <w:rsid w:val="00F90618"/>
    <w:rsid w:val="00F97B64"/>
    <w:rsid w:val="00FA0A50"/>
    <w:rsid w:val="00FA55CB"/>
    <w:rsid w:val="00FB6F21"/>
    <w:rsid w:val="00FC1ABD"/>
    <w:rsid w:val="00FC49F2"/>
    <w:rsid w:val="00FC58E8"/>
    <w:rsid w:val="00FD2131"/>
    <w:rsid w:val="00FE1530"/>
    <w:rsid w:val="00FE3848"/>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A0"/>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Liste 1,Bullets,References,List Square,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5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Bullets Char,References Char,List Square Char,Bullet List Char,FooterText Char,List Paragraph1 Char,Colorful List Accent 1 Char,numbered Char,Paragraphe de liste1 Char,列出段落 Char,列出段落1 Char,Bulletr List Paragraph Char"/>
    <w:link w:val="ListParagraph"/>
    <w:uiPriority w:val="34"/>
    <w:qFormat/>
    <w:locked/>
    <w:rsid w:val="00222524"/>
    <w:rPr>
      <w:rFonts w:ascii="Arial" w:eastAsia="MS PGothic" w:hAnsi="Arial"/>
      <w:color w:val="000000"/>
    </w:rPr>
  </w:style>
  <w:style w:type="character" w:styleId="CommentReference">
    <w:name w:val="annotation reference"/>
    <w:basedOn w:val="DefaultParagraphFont"/>
    <w:semiHidden/>
    <w:unhideWhenUsed/>
    <w:rsid w:val="00372648"/>
    <w:rPr>
      <w:sz w:val="16"/>
      <w:szCs w:val="16"/>
    </w:rPr>
  </w:style>
  <w:style w:type="paragraph" w:styleId="CommentSubject">
    <w:name w:val="annotation subject"/>
    <w:basedOn w:val="CommentText"/>
    <w:next w:val="CommentText"/>
    <w:link w:val="CommentSubjectChar"/>
    <w:semiHidden/>
    <w:unhideWhenUsed/>
    <w:rsid w:val="00372648"/>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372648"/>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110">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500047521">
      <w:bodyDiv w:val="1"/>
      <w:marLeft w:val="0"/>
      <w:marRight w:val="0"/>
      <w:marTop w:val="0"/>
      <w:marBottom w:val="0"/>
      <w:divBdr>
        <w:top w:val="none" w:sz="0" w:space="0" w:color="auto"/>
        <w:left w:val="none" w:sz="0" w:space="0" w:color="auto"/>
        <w:bottom w:val="none" w:sz="0" w:space="0" w:color="auto"/>
        <w:right w:val="none" w:sz="0" w:space="0" w:color="auto"/>
      </w:divBdr>
    </w:div>
    <w:div w:id="584455646">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28256834">
      <w:bodyDiv w:val="1"/>
      <w:marLeft w:val="0"/>
      <w:marRight w:val="0"/>
      <w:marTop w:val="0"/>
      <w:marBottom w:val="0"/>
      <w:divBdr>
        <w:top w:val="none" w:sz="0" w:space="0" w:color="auto"/>
        <w:left w:val="none" w:sz="0" w:space="0" w:color="auto"/>
        <w:bottom w:val="none" w:sz="0" w:space="0" w:color="auto"/>
        <w:right w:val="none" w:sz="0" w:space="0" w:color="auto"/>
      </w:divBdr>
    </w:div>
    <w:div w:id="900869582">
      <w:bodyDiv w:val="1"/>
      <w:marLeft w:val="0"/>
      <w:marRight w:val="0"/>
      <w:marTop w:val="0"/>
      <w:marBottom w:val="0"/>
      <w:divBdr>
        <w:top w:val="none" w:sz="0" w:space="0" w:color="auto"/>
        <w:left w:val="none" w:sz="0" w:space="0" w:color="auto"/>
        <w:bottom w:val="none" w:sz="0" w:space="0" w:color="auto"/>
        <w:right w:val="none" w:sz="0" w:space="0" w:color="auto"/>
      </w:divBdr>
    </w:div>
    <w:div w:id="998192204">
      <w:bodyDiv w:val="1"/>
      <w:marLeft w:val="0"/>
      <w:marRight w:val="0"/>
      <w:marTop w:val="0"/>
      <w:marBottom w:val="0"/>
      <w:divBdr>
        <w:top w:val="none" w:sz="0" w:space="0" w:color="auto"/>
        <w:left w:val="none" w:sz="0" w:space="0" w:color="auto"/>
        <w:bottom w:val="none" w:sz="0" w:space="0" w:color="auto"/>
        <w:right w:val="none" w:sz="0" w:space="0" w:color="auto"/>
      </w:divBdr>
    </w:div>
    <w:div w:id="1111969213">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521167061">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645698882">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28271833">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19996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90C56F10B3DD240BEFD2DA56940074C" ma:contentTypeVersion="74" ma:contentTypeDescription="Create a new document." ma:contentTypeScope="" ma:versionID="3598020e24bbd4684c3a62b4d5b7771d">
  <xsd:schema xmlns:xsd="http://www.w3.org/2001/XMLSchema" xmlns:xs="http://www.w3.org/2001/XMLSchema" xmlns:p="http://schemas.microsoft.com/office/2006/metadata/properties" xmlns:ns1="http://schemas.microsoft.com/sharepoint/v3" xmlns:ns2="ca283e0b-db31-4043-a2ef-b80661bf084a" xmlns:ns3="http://schemas.microsoft.com/sharepoint.v3" xmlns:ns4="2a5f211c-9297-4abd-895d-d88780e1d4e3" xmlns:ns5="6c3ba519-49fc-48fa-9235-9dbc04ac9a82" xmlns:ns6="http://schemas.microsoft.com/sharepoint/v4" targetNamespace="http://schemas.microsoft.com/office/2006/metadata/properties" ma:root="true" ma:fieldsID="e3a35e1c8da222473daf2c25dee87af3" ns1:_="" ns2:_="" ns3:_="" ns4:_="" ns5:_="" ns6:_="">
    <xsd:import namespace="http://schemas.microsoft.com/sharepoint/v3"/>
    <xsd:import namespace="ca283e0b-db31-4043-a2ef-b80661bf084a"/>
    <xsd:import namespace="http://schemas.microsoft.com/sharepoint.v3"/>
    <xsd:import namespace="2a5f211c-9297-4abd-895d-d88780e1d4e3"/>
    <xsd:import namespace="6c3ba519-49fc-48fa-9235-9dbc04ac9a8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6:IconOverlay" minOccurs="0"/>
                <xsd:element ref="ns1:_vti_ItemDeclaredRecord" minOccurs="0"/>
                <xsd:element ref="ns4:TaxKeywordTaxHTField" minOccurs="0"/>
                <xsd:element ref="ns1:_vti_ItemHoldRecordStatus"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60;#Rep. of Turkmenistan-4360|b7cfa312-2606-4835-ac8f-21b82d52fe8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24db360-6f10-4ebc-adff-e439a82cd650}" ma:internalName="TaxCatchAllLabel" ma:readOnly="true" ma:showField="CatchAllDataLabel" ma:web="2a5f211c-9297-4abd-895d-d88780e1d4e3">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24db360-6f10-4ebc-adff-e439a82cd650}" ma:internalName="TaxCatchAll" ma:showField="CatchAllData" ma:web="2a5f211c-9297-4abd-895d-d88780e1d4e3">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f211c-9297-4abd-895d-d88780e1d4e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ba519-49fc-48fa-9235-9dbc04ac9a8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2a5f211c-9297-4abd-895d-d88780e1d4e3">
      <UserInfo>
        <DisplayName>Carmen Munoz</DisplayName>
        <AccountId>18</AccountId>
        <AccountType/>
      </UserInfo>
      <UserInfo>
        <DisplayName>Junquanhamuze An</DisplayName>
        <AccountId>20</AccountId>
        <AccountType/>
      </UserInfo>
    </SharedWithUsers>
    <TaxCatchAll xmlns="ca283e0b-db31-4043-a2ef-b80661bf084a"/>
    <SemaphoreItemMetadata xmlns="2a5f211c-9297-4abd-895d-d88780e1d4e3"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TaxKeywordTaxHTField xmlns="2a5f211c-9297-4abd-895d-d88780e1d4e3">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WrittenBy xmlns="ca283e0b-db31-4043-a2ef-b80661bf084a">
      <UserInfo>
        <DisplayName/>
        <AccountId xsi:nil="true"/>
        <AccountType/>
      </UserInfo>
    </WrittenBy>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9F81B6AC-15BF-4B87-8EEE-3F333601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5f211c-9297-4abd-895d-d88780e1d4e3"/>
    <ds:schemaRef ds:uri="6c3ba519-49fc-48fa-9235-9dbc04ac9a8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899AC-62EB-4558-A776-EC9A39C924CA}">
  <ds:schemaRefs>
    <ds:schemaRef ds:uri="http://schemas.openxmlformats.org/officeDocument/2006/bibliography"/>
  </ds:schemaRefs>
</ds:datastoreItem>
</file>

<file path=customXml/itemProps3.xml><?xml version="1.0" encoding="utf-8"?>
<ds:datastoreItem xmlns:ds="http://schemas.openxmlformats.org/officeDocument/2006/customXml" ds:itemID="{5C66B919-2CB6-4EE4-9463-CC0CDAE7AE35}">
  <ds:schemaRefs>
    <ds:schemaRef ds:uri="Microsoft.SharePoint.Taxonomy.ContentTypeSync"/>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2a5f211c-9297-4abd-895d-d88780e1d4e3"/>
    <ds:schemaRef ds:uri="ca283e0b-db31-4043-a2ef-b80661bf084a"/>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6B1A8F8E-3361-4295-A97E-4D5AD160C3F4}">
  <ds:schemaRefs>
    <ds:schemaRef ds:uri="http://schemas.microsoft.com/office/2006/metadata/customXsn"/>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55E554EE-9DDD-46D5-968A-EECAFDEB46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5</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Boris Ter-Semyonov</cp:lastModifiedBy>
  <cp:revision>2</cp:revision>
  <cp:lastPrinted>2021-11-17T08:16:00Z</cp:lastPrinted>
  <dcterms:created xsi:type="dcterms:W3CDTF">2022-11-21T06:09:00Z</dcterms:created>
  <dcterms:modified xsi:type="dcterms:W3CDTF">2022-11-21T06:09:00Z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0x0101009BA85F8052A6DA4FA3E31FF9F74C697000590C56F10B3DD240BEFD2DA56940074C</vt:lpwstr>
  </property>
  <property fmtid="{D5CDD505-2E9C-101B-9397-08002B2CF9AE}" pid="3" name="TaxKeyword">
    <vt:lpwstr>4;#Consultant|97dbf340-afa5-45ee-bb2e-48a25e57c80a;#38;#Terms of reference|26e23d09-321c-47a9-b467-3d76284820e0</vt:lpwstr>
  </property>
  <property fmtid="{D5CDD505-2E9C-101B-9397-08002B2CF9AE}" pid="4" name="Topic">
    <vt:lpwstr>58;#CO Management, Operations Support|686598eb-81b5-428d-9414-e3dd5e7647ba</vt:lpwstr>
  </property>
  <property fmtid="{D5CDD505-2E9C-101B-9397-08002B2CF9AE}" pid="5" name="OfficeDivision">
    <vt:lpwstr>59;#Lebanon-2490|9edb7c65-e5d5-4e49-90eb-6706d834a52d</vt:lpwstr>
  </property>
  <property fmtid="{D5CDD505-2E9C-101B-9397-08002B2CF9AE}" pid="6" name="_dlc_DocIdItemGuid">
    <vt:lpwstr>0ea13555-65fa-40ad-8d9b-f5bb9db6d075</vt:lpwstr>
  </property>
  <property fmtid="{D5CDD505-2E9C-101B-9397-08002B2CF9AE}" pid="7" name="DocumentType">
    <vt:lpwstr>57;#Job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