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F949C" w14:textId="4099751A" w:rsidR="001A72B6" w:rsidRDefault="001A72B6" w:rsidP="00C32EA7">
      <w:pPr>
        <w:rPr>
          <w:rStyle w:val="Strong"/>
          <w:color w:val="auto"/>
          <w:sz w:val="24"/>
          <w:szCs w:val="24"/>
        </w:rPr>
      </w:pPr>
      <w:r>
        <w:rPr>
          <w:rStyle w:val="Strong"/>
          <w:color w:val="auto"/>
          <w:sz w:val="24"/>
          <w:szCs w:val="24"/>
        </w:rPr>
        <w:t xml:space="preserve"> </w:t>
      </w:r>
    </w:p>
    <w:p w14:paraId="56F4F0F3" w14:textId="77777777" w:rsidR="001A72B6" w:rsidRDefault="001A72B6" w:rsidP="00A603DC">
      <w:pPr>
        <w:ind w:left="-90"/>
        <w:rPr>
          <w:rStyle w:val="Strong"/>
          <w:color w:val="auto"/>
          <w:sz w:val="24"/>
          <w:szCs w:val="24"/>
        </w:rPr>
      </w:pPr>
    </w:p>
    <w:p w14:paraId="78DB7E26" w14:textId="4CC960B4" w:rsidR="00D75510" w:rsidRPr="008679A7" w:rsidRDefault="00D75510" w:rsidP="00D75510">
      <w:pPr>
        <w:jc w:val="center"/>
        <w:rPr>
          <w:b/>
          <w:sz w:val="24"/>
          <w:szCs w:val="24"/>
          <w:lang w:val="en-GB"/>
        </w:rPr>
      </w:pPr>
    </w:p>
    <w:p w14:paraId="770B3A84" w14:textId="77777777" w:rsidR="000E4CFF" w:rsidRPr="00443C6F" w:rsidRDefault="000E4CFF" w:rsidP="0039172F">
      <w:pPr>
        <w:jc w:val="center"/>
        <w:rPr>
          <w:b/>
          <w:sz w:val="24"/>
          <w:szCs w:val="24"/>
          <w:lang w:val="en-US"/>
        </w:rPr>
      </w:pPr>
    </w:p>
    <w:p w14:paraId="5307769C" w14:textId="77777777" w:rsidR="00963BA1" w:rsidRPr="008679A7" w:rsidRDefault="00963BA1" w:rsidP="006009CA">
      <w:pPr>
        <w:shd w:val="clear" w:color="auto" w:fill="FFFFFF"/>
        <w:rPr>
          <w:i/>
          <w:sz w:val="24"/>
          <w:szCs w:val="24"/>
          <w:lang w:val="en-GB"/>
        </w:rPr>
      </w:pPr>
    </w:p>
    <w:p w14:paraId="23C2D17C" w14:textId="77777777" w:rsidR="00F31256" w:rsidRPr="008679A7" w:rsidRDefault="00F31256" w:rsidP="002E7349">
      <w:pPr>
        <w:shd w:val="clear" w:color="auto" w:fill="FFFFFF"/>
        <w:rPr>
          <w:b/>
          <w:sz w:val="24"/>
          <w:szCs w:val="24"/>
          <w:lang w:val="en-GB"/>
        </w:rPr>
      </w:pPr>
    </w:p>
    <w:p w14:paraId="7A0032B6" w14:textId="77777777" w:rsidR="00F31256" w:rsidRPr="008679A7" w:rsidRDefault="00F31256" w:rsidP="00F31256">
      <w:pPr>
        <w:rPr>
          <w:b/>
          <w:sz w:val="24"/>
          <w:szCs w:val="24"/>
          <w:lang w:val="en-GB"/>
        </w:rPr>
        <w:sectPr w:rsidR="00F31256" w:rsidRPr="008679A7" w:rsidSect="007F4CFB">
          <w:headerReference w:type="default" r:id="rId8"/>
          <w:footerReference w:type="default" r:id="rId9"/>
          <w:pgSz w:w="11907" w:h="16839" w:code="9"/>
          <w:pgMar w:top="1440" w:right="1080" w:bottom="1440" w:left="1080" w:header="720" w:footer="720" w:gutter="0"/>
          <w:cols w:space="720"/>
          <w:docGrid w:linePitch="299"/>
        </w:sectPr>
      </w:pPr>
    </w:p>
    <w:p w14:paraId="74A67509" w14:textId="77777777" w:rsidR="004502B2" w:rsidRPr="008679A7" w:rsidRDefault="009C482E" w:rsidP="004502B2">
      <w:pPr>
        <w:jc w:val="center"/>
        <w:rPr>
          <w:b/>
          <w:sz w:val="24"/>
          <w:szCs w:val="24"/>
          <w:lang w:val="en-GB"/>
        </w:rPr>
      </w:pPr>
      <w:r>
        <w:rPr>
          <w:rStyle w:val="Strong"/>
          <w:color w:val="auto"/>
          <w:sz w:val="24"/>
          <w:szCs w:val="24"/>
        </w:rPr>
        <w:lastRenderedPageBreak/>
        <w:t>TERMS OF REFERENCE FOR INDIVIDUAL CONTRACTORS/ CONSULTANTS</w:t>
      </w:r>
    </w:p>
    <w:p w14:paraId="30E4E377" w14:textId="77777777" w:rsidR="004502B2" w:rsidRPr="008679A7" w:rsidRDefault="004502B2" w:rsidP="004502B2">
      <w:pPr>
        <w:rPr>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85"/>
        <w:gridCol w:w="3443"/>
      </w:tblGrid>
      <w:tr w:rsidR="0056484D" w:rsidRPr="008679A7" w14:paraId="3D1AEDA1" w14:textId="77777777" w:rsidTr="00AA69AC">
        <w:trPr>
          <w:trHeight w:val="422"/>
        </w:trPr>
        <w:tc>
          <w:tcPr>
            <w:tcW w:w="9963" w:type="dxa"/>
            <w:gridSpan w:val="3"/>
            <w:shd w:val="clear" w:color="auto" w:fill="E7E6E6"/>
          </w:tcPr>
          <w:p w14:paraId="57F7162F" w14:textId="77777777" w:rsidR="0056484D" w:rsidRPr="008679A7" w:rsidRDefault="0056484D" w:rsidP="00AA69AC">
            <w:pPr>
              <w:rPr>
                <w:b/>
                <w:sz w:val="24"/>
                <w:szCs w:val="24"/>
                <w:lang w:val="en-GB"/>
              </w:rPr>
            </w:pPr>
            <w:r w:rsidRPr="008679A7">
              <w:rPr>
                <w:b/>
                <w:sz w:val="24"/>
                <w:szCs w:val="24"/>
                <w:lang w:val="en-GB"/>
              </w:rPr>
              <w:t xml:space="preserve">PART I  </w:t>
            </w:r>
          </w:p>
        </w:tc>
      </w:tr>
      <w:tr w:rsidR="0056484D" w:rsidRPr="008679A7" w14:paraId="4AAC0381" w14:textId="77777777" w:rsidTr="00AA69AC">
        <w:tc>
          <w:tcPr>
            <w:tcW w:w="3168" w:type="dxa"/>
            <w:shd w:val="clear" w:color="auto" w:fill="FFFFFF"/>
          </w:tcPr>
          <w:p w14:paraId="4D1B0A30" w14:textId="77777777" w:rsidR="0056484D" w:rsidRPr="008679A7" w:rsidRDefault="0056484D" w:rsidP="00AA69AC">
            <w:pPr>
              <w:rPr>
                <w:sz w:val="24"/>
                <w:szCs w:val="24"/>
                <w:lang w:val="en-GB"/>
              </w:rPr>
            </w:pPr>
            <w:r w:rsidRPr="008679A7">
              <w:rPr>
                <w:sz w:val="24"/>
                <w:szCs w:val="24"/>
                <w:lang w:val="en-GB"/>
              </w:rPr>
              <w:t>Title of Assignment</w:t>
            </w:r>
          </w:p>
        </w:tc>
        <w:tc>
          <w:tcPr>
            <w:tcW w:w="6795" w:type="dxa"/>
            <w:gridSpan w:val="2"/>
            <w:shd w:val="clear" w:color="auto" w:fill="auto"/>
          </w:tcPr>
          <w:p w14:paraId="5F79472A" w14:textId="4A9F57BC" w:rsidR="0056484D" w:rsidRPr="00A10227" w:rsidRDefault="00A10227" w:rsidP="00AA69AC">
            <w:pPr>
              <w:rPr>
                <w:sz w:val="24"/>
                <w:szCs w:val="24"/>
                <w:lang w:val="fr-FR"/>
              </w:rPr>
            </w:pPr>
            <w:r w:rsidRPr="00FA3296">
              <w:rPr>
                <w:sz w:val="24"/>
                <w:szCs w:val="24"/>
                <w:lang w:val="fr-FR"/>
              </w:rPr>
              <w:t xml:space="preserve">Consultant national pour appuyer la </w:t>
            </w:r>
            <w:r w:rsidR="00BD1AC2">
              <w:rPr>
                <w:sz w:val="24"/>
                <w:szCs w:val="24"/>
                <w:lang w:val="fr-FR"/>
              </w:rPr>
              <w:t>revu</w:t>
            </w:r>
            <w:r w:rsidRPr="00FA3296">
              <w:rPr>
                <w:sz w:val="24"/>
                <w:szCs w:val="24"/>
                <w:lang w:val="fr-FR"/>
              </w:rPr>
              <w:t xml:space="preserve">e </w:t>
            </w:r>
            <w:r w:rsidR="00FB5841">
              <w:rPr>
                <w:sz w:val="24"/>
                <w:szCs w:val="24"/>
                <w:lang w:val="fr-FR"/>
              </w:rPr>
              <w:t xml:space="preserve">sectorielle </w:t>
            </w:r>
            <w:r w:rsidR="00BD1AC2">
              <w:rPr>
                <w:sz w:val="24"/>
                <w:szCs w:val="24"/>
                <w:lang w:val="fr-FR"/>
              </w:rPr>
              <w:t xml:space="preserve">conjointe </w:t>
            </w:r>
            <w:r w:rsidRPr="00FA3296">
              <w:rPr>
                <w:sz w:val="24"/>
                <w:szCs w:val="24"/>
                <w:lang w:val="fr-FR"/>
              </w:rPr>
              <w:t>de l’</w:t>
            </w:r>
            <w:r w:rsidR="00BD1AC2">
              <w:rPr>
                <w:sz w:val="24"/>
                <w:szCs w:val="24"/>
                <w:lang w:val="fr-FR"/>
              </w:rPr>
              <w:t>é</w:t>
            </w:r>
            <w:r w:rsidR="00BD1AC2" w:rsidRPr="00FA3296">
              <w:rPr>
                <w:sz w:val="24"/>
                <w:szCs w:val="24"/>
                <w:lang w:val="fr-FR"/>
              </w:rPr>
              <w:t>ducation</w:t>
            </w:r>
            <w:r w:rsidRPr="00FA3296">
              <w:rPr>
                <w:sz w:val="24"/>
                <w:szCs w:val="24"/>
                <w:lang w:val="fr-FR"/>
              </w:rPr>
              <w:t xml:space="preserve"> du Burundi.</w:t>
            </w:r>
          </w:p>
        </w:tc>
      </w:tr>
      <w:tr w:rsidR="0056484D" w:rsidRPr="008679A7" w14:paraId="05EC989C" w14:textId="77777777" w:rsidTr="0056484D">
        <w:trPr>
          <w:trHeight w:val="278"/>
        </w:trPr>
        <w:tc>
          <w:tcPr>
            <w:tcW w:w="3168" w:type="dxa"/>
            <w:shd w:val="clear" w:color="auto" w:fill="FFFFFF"/>
          </w:tcPr>
          <w:p w14:paraId="440F3F42" w14:textId="77777777" w:rsidR="0056484D" w:rsidRPr="008679A7" w:rsidRDefault="0056484D" w:rsidP="00AA69AC">
            <w:pPr>
              <w:rPr>
                <w:sz w:val="24"/>
                <w:szCs w:val="24"/>
                <w:lang w:val="en-GB"/>
              </w:rPr>
            </w:pPr>
            <w:r w:rsidRPr="008679A7">
              <w:rPr>
                <w:sz w:val="24"/>
                <w:szCs w:val="24"/>
                <w:lang w:val="en-GB"/>
              </w:rPr>
              <w:t>Section</w:t>
            </w:r>
          </w:p>
        </w:tc>
        <w:tc>
          <w:tcPr>
            <w:tcW w:w="6795" w:type="dxa"/>
            <w:gridSpan w:val="2"/>
            <w:shd w:val="clear" w:color="auto" w:fill="auto"/>
          </w:tcPr>
          <w:p w14:paraId="17FAA730" w14:textId="704C6ED1" w:rsidR="0056484D" w:rsidRPr="00DC72F7" w:rsidRDefault="0095247D" w:rsidP="00AA69AC">
            <w:pPr>
              <w:rPr>
                <w:sz w:val="24"/>
                <w:szCs w:val="24"/>
                <w:lang w:val="en-GB"/>
              </w:rPr>
            </w:pPr>
            <w:r w:rsidRPr="00DC72F7">
              <w:rPr>
                <w:sz w:val="24"/>
                <w:szCs w:val="24"/>
                <w:lang w:val="en-GB"/>
              </w:rPr>
              <w:t>Education</w:t>
            </w:r>
          </w:p>
        </w:tc>
      </w:tr>
      <w:tr w:rsidR="0056484D" w:rsidRPr="008679A7" w14:paraId="58AD32B1" w14:textId="77777777" w:rsidTr="00AA69AC">
        <w:tc>
          <w:tcPr>
            <w:tcW w:w="3168" w:type="dxa"/>
            <w:shd w:val="clear" w:color="auto" w:fill="FFFFFF"/>
          </w:tcPr>
          <w:p w14:paraId="60A746AD" w14:textId="77777777" w:rsidR="0056484D" w:rsidRPr="008679A7" w:rsidRDefault="0056484D" w:rsidP="00AA69AC">
            <w:pPr>
              <w:rPr>
                <w:sz w:val="24"/>
                <w:szCs w:val="24"/>
                <w:lang w:val="en-GB"/>
              </w:rPr>
            </w:pPr>
            <w:r w:rsidRPr="008679A7">
              <w:rPr>
                <w:sz w:val="24"/>
                <w:szCs w:val="24"/>
                <w:lang w:val="en-GB"/>
              </w:rPr>
              <w:t>Location</w:t>
            </w:r>
          </w:p>
        </w:tc>
        <w:tc>
          <w:tcPr>
            <w:tcW w:w="6795" w:type="dxa"/>
            <w:gridSpan w:val="2"/>
            <w:shd w:val="clear" w:color="auto" w:fill="auto"/>
          </w:tcPr>
          <w:p w14:paraId="0C4F48EC" w14:textId="40562DB4" w:rsidR="0056484D" w:rsidRPr="00DC72F7" w:rsidRDefault="00DC72F7" w:rsidP="00AA69AC">
            <w:pPr>
              <w:shd w:val="clear" w:color="auto" w:fill="FFFFFF"/>
              <w:rPr>
                <w:sz w:val="24"/>
                <w:szCs w:val="24"/>
                <w:lang w:val="en-GB"/>
              </w:rPr>
            </w:pPr>
            <w:r w:rsidRPr="00DC72F7">
              <w:rPr>
                <w:sz w:val="24"/>
                <w:szCs w:val="24"/>
                <w:lang w:val="en-GB"/>
              </w:rPr>
              <w:t>Bujumbura</w:t>
            </w:r>
          </w:p>
        </w:tc>
      </w:tr>
      <w:tr w:rsidR="0056484D" w:rsidRPr="008679A7" w14:paraId="76D44803" w14:textId="77777777" w:rsidTr="00AA69AC">
        <w:tc>
          <w:tcPr>
            <w:tcW w:w="3168" w:type="dxa"/>
            <w:shd w:val="clear" w:color="auto" w:fill="FFFFFF"/>
          </w:tcPr>
          <w:p w14:paraId="077E898B" w14:textId="77777777" w:rsidR="0056484D" w:rsidRPr="008679A7" w:rsidRDefault="0056484D" w:rsidP="00AA69AC">
            <w:pPr>
              <w:rPr>
                <w:sz w:val="24"/>
                <w:szCs w:val="24"/>
                <w:lang w:val="en-GB"/>
              </w:rPr>
            </w:pPr>
            <w:r w:rsidRPr="008679A7">
              <w:rPr>
                <w:sz w:val="24"/>
                <w:szCs w:val="24"/>
                <w:lang w:val="en-GB"/>
              </w:rPr>
              <w:t>Duration</w:t>
            </w:r>
          </w:p>
        </w:tc>
        <w:tc>
          <w:tcPr>
            <w:tcW w:w="6795" w:type="dxa"/>
            <w:gridSpan w:val="2"/>
            <w:shd w:val="clear" w:color="auto" w:fill="auto"/>
          </w:tcPr>
          <w:p w14:paraId="1C6F59C9" w14:textId="7D61F7A0" w:rsidR="0056484D" w:rsidRPr="00DC72F7" w:rsidRDefault="00FB5841" w:rsidP="00AA69AC">
            <w:pPr>
              <w:rPr>
                <w:sz w:val="24"/>
                <w:szCs w:val="24"/>
                <w:lang w:val="en-GB"/>
              </w:rPr>
            </w:pPr>
            <w:r>
              <w:rPr>
                <w:sz w:val="24"/>
                <w:szCs w:val="24"/>
              </w:rPr>
              <w:t>6 semaines</w:t>
            </w:r>
          </w:p>
        </w:tc>
      </w:tr>
      <w:tr w:rsidR="003F6C82" w:rsidRPr="008679A7" w14:paraId="017536FB" w14:textId="77777777" w:rsidTr="00AA69AC">
        <w:tc>
          <w:tcPr>
            <w:tcW w:w="3168" w:type="dxa"/>
            <w:shd w:val="clear" w:color="auto" w:fill="FFFFFF"/>
          </w:tcPr>
          <w:p w14:paraId="48DB8CAE" w14:textId="77777777" w:rsidR="0056484D" w:rsidRPr="008679A7" w:rsidRDefault="0056484D" w:rsidP="00AA69AC">
            <w:pPr>
              <w:rPr>
                <w:sz w:val="24"/>
                <w:szCs w:val="24"/>
                <w:lang w:val="en-GB"/>
              </w:rPr>
            </w:pPr>
            <w:r w:rsidRPr="008679A7">
              <w:rPr>
                <w:sz w:val="24"/>
                <w:szCs w:val="24"/>
                <w:lang w:val="en-GB"/>
              </w:rPr>
              <w:t>Start date</w:t>
            </w:r>
          </w:p>
        </w:tc>
        <w:tc>
          <w:tcPr>
            <w:tcW w:w="3262" w:type="dxa"/>
            <w:shd w:val="clear" w:color="auto" w:fill="auto"/>
          </w:tcPr>
          <w:p w14:paraId="29B0D723" w14:textId="55F1B325" w:rsidR="0056484D" w:rsidRPr="008679A7" w:rsidRDefault="0056484D" w:rsidP="00AA69AC">
            <w:pPr>
              <w:rPr>
                <w:b/>
                <w:sz w:val="24"/>
                <w:szCs w:val="24"/>
                <w:lang w:val="en-GB"/>
              </w:rPr>
            </w:pPr>
            <w:r w:rsidRPr="008679A7">
              <w:rPr>
                <w:b/>
                <w:sz w:val="24"/>
                <w:szCs w:val="24"/>
                <w:lang w:val="en-GB"/>
              </w:rPr>
              <w:t>From</w:t>
            </w:r>
            <w:r w:rsidRPr="00443C6F">
              <w:rPr>
                <w:sz w:val="24"/>
                <w:szCs w:val="24"/>
                <w:lang w:val="en-GB"/>
              </w:rPr>
              <w:t xml:space="preserve">:   </w:t>
            </w:r>
            <w:r w:rsidR="006503B6">
              <w:rPr>
                <w:sz w:val="24"/>
                <w:szCs w:val="24"/>
                <w:lang w:val="en-GB"/>
              </w:rPr>
              <w:t>M</w:t>
            </w:r>
            <w:r w:rsidR="00FB5841" w:rsidRPr="00FB5841">
              <w:rPr>
                <w:sz w:val="24"/>
                <w:szCs w:val="24"/>
                <w:lang w:val="fr-FR"/>
              </w:rPr>
              <w:t>ars</w:t>
            </w:r>
            <w:r w:rsidR="00FB5841">
              <w:rPr>
                <w:sz w:val="24"/>
                <w:szCs w:val="24"/>
                <w:lang w:val="en-GB"/>
              </w:rPr>
              <w:t xml:space="preserve"> </w:t>
            </w:r>
            <w:r w:rsidR="00A10227">
              <w:rPr>
                <w:sz w:val="24"/>
                <w:szCs w:val="24"/>
                <w:lang w:val="fr-FR"/>
              </w:rPr>
              <w:t>2</w:t>
            </w:r>
            <w:r w:rsidR="00204D7C" w:rsidRPr="00443C6F">
              <w:rPr>
                <w:sz w:val="24"/>
                <w:szCs w:val="24"/>
                <w:lang w:val="en-GB"/>
              </w:rPr>
              <w:t>0</w:t>
            </w:r>
            <w:r w:rsidR="00FB5841">
              <w:rPr>
                <w:sz w:val="24"/>
                <w:szCs w:val="24"/>
                <w:lang w:val="en-GB"/>
              </w:rPr>
              <w:t>20</w:t>
            </w:r>
            <w:r w:rsidRPr="008679A7">
              <w:rPr>
                <w:b/>
                <w:sz w:val="24"/>
                <w:szCs w:val="24"/>
                <w:lang w:val="en-GB"/>
              </w:rPr>
              <w:t xml:space="preserve">               </w:t>
            </w:r>
          </w:p>
        </w:tc>
        <w:tc>
          <w:tcPr>
            <w:tcW w:w="3533" w:type="dxa"/>
            <w:shd w:val="clear" w:color="auto" w:fill="auto"/>
          </w:tcPr>
          <w:p w14:paraId="02827E74" w14:textId="25573DD4" w:rsidR="00FB5841" w:rsidRDefault="0056484D" w:rsidP="00FB5841">
            <w:pPr>
              <w:rPr>
                <w:sz w:val="24"/>
                <w:szCs w:val="24"/>
                <w:lang w:val="en-GB"/>
              </w:rPr>
            </w:pPr>
            <w:r w:rsidRPr="008679A7">
              <w:rPr>
                <w:b/>
                <w:sz w:val="24"/>
                <w:szCs w:val="24"/>
                <w:lang w:val="en-GB"/>
              </w:rPr>
              <w:t xml:space="preserve">    To</w:t>
            </w:r>
            <w:r w:rsidRPr="00443C6F">
              <w:rPr>
                <w:sz w:val="24"/>
                <w:szCs w:val="24"/>
                <w:lang w:val="en-GB"/>
              </w:rPr>
              <w:t xml:space="preserve">:  </w:t>
            </w:r>
            <w:r w:rsidR="006503B6">
              <w:rPr>
                <w:sz w:val="24"/>
                <w:szCs w:val="24"/>
                <w:lang w:val="fr-FR"/>
              </w:rPr>
              <w:t>Avril</w:t>
            </w:r>
            <w:r w:rsidR="00FB5841">
              <w:rPr>
                <w:sz w:val="24"/>
                <w:szCs w:val="24"/>
                <w:lang w:val="en-GB"/>
              </w:rPr>
              <w:t xml:space="preserve"> </w:t>
            </w:r>
            <w:r w:rsidR="003F6C82">
              <w:rPr>
                <w:sz w:val="24"/>
                <w:szCs w:val="24"/>
                <w:lang w:val="en-GB"/>
              </w:rPr>
              <w:t>2</w:t>
            </w:r>
            <w:r w:rsidR="00204D7C" w:rsidRPr="00443C6F">
              <w:rPr>
                <w:sz w:val="24"/>
                <w:szCs w:val="24"/>
                <w:lang w:val="en-GB"/>
              </w:rPr>
              <w:t>0</w:t>
            </w:r>
            <w:r w:rsidR="00FB5841">
              <w:rPr>
                <w:sz w:val="24"/>
                <w:szCs w:val="24"/>
                <w:lang w:val="en-GB"/>
              </w:rPr>
              <w:t>20</w:t>
            </w:r>
          </w:p>
          <w:p w14:paraId="5379C486" w14:textId="3D1C51FF" w:rsidR="0056484D" w:rsidRPr="008679A7" w:rsidRDefault="0056484D" w:rsidP="00FB5841">
            <w:pPr>
              <w:rPr>
                <w:b/>
                <w:sz w:val="24"/>
                <w:szCs w:val="24"/>
                <w:lang w:val="en-GB"/>
              </w:rPr>
            </w:pPr>
            <w:r w:rsidRPr="008679A7">
              <w:rPr>
                <w:b/>
                <w:sz w:val="24"/>
                <w:szCs w:val="24"/>
                <w:lang w:val="en-GB"/>
              </w:rPr>
              <w:t xml:space="preserve">      </w:t>
            </w:r>
          </w:p>
        </w:tc>
      </w:tr>
    </w:tbl>
    <w:p w14:paraId="08CAE512" w14:textId="77777777" w:rsidR="0009097F" w:rsidRPr="008679A7" w:rsidRDefault="0009097F" w:rsidP="004502B2">
      <w:pPr>
        <w:shd w:val="clear" w:color="auto" w:fill="FFFFFF"/>
        <w:rPr>
          <w:b/>
          <w:sz w:val="24"/>
          <w:szCs w:val="24"/>
          <w:lang w:val="en-GB"/>
        </w:rPr>
      </w:pPr>
    </w:p>
    <w:p w14:paraId="493ECE10" w14:textId="1B2DCDA5" w:rsidR="006009CA" w:rsidRPr="008679A7" w:rsidRDefault="00C83D91" w:rsidP="006009CA">
      <w:pPr>
        <w:shd w:val="clear" w:color="auto" w:fill="D9D9D9"/>
        <w:rPr>
          <w:b/>
          <w:sz w:val="24"/>
          <w:szCs w:val="24"/>
          <w:lang w:val="en-GB"/>
        </w:rPr>
      </w:pPr>
      <w:proofErr w:type="spellStart"/>
      <w:r>
        <w:rPr>
          <w:b/>
          <w:sz w:val="24"/>
          <w:szCs w:val="24"/>
          <w:lang w:val="en-GB"/>
        </w:rPr>
        <w:t>Contexte</w:t>
      </w:r>
      <w:proofErr w:type="spellEnd"/>
      <w:r>
        <w:rPr>
          <w:b/>
          <w:sz w:val="24"/>
          <w:szCs w:val="24"/>
          <w:lang w:val="en-GB"/>
        </w:rPr>
        <w:t xml:space="preserve"> et j</w:t>
      </w:r>
      <w:r w:rsidR="001E39E6" w:rsidRPr="008679A7">
        <w:rPr>
          <w:b/>
          <w:sz w:val="24"/>
          <w:szCs w:val="24"/>
          <w:lang w:val="en-GB"/>
        </w:rPr>
        <w:t>ustification</w:t>
      </w:r>
    </w:p>
    <w:p w14:paraId="3FB29FD4" w14:textId="02C745E0" w:rsidR="00BD1AC2" w:rsidRPr="0026017A" w:rsidRDefault="00BD1AC2" w:rsidP="00BD1AC2">
      <w:pPr>
        <w:jc w:val="both"/>
        <w:rPr>
          <w:rFonts w:asciiTheme="majorHAnsi" w:hAnsiTheme="majorHAnsi" w:cstheme="majorHAnsi"/>
          <w:color w:val="auto"/>
          <w:lang w:val="fr-FR"/>
        </w:rPr>
      </w:pPr>
      <w:r w:rsidRPr="002532EB">
        <w:rPr>
          <w:rFonts w:asciiTheme="majorHAnsi" w:hAnsiTheme="majorHAnsi" w:cstheme="majorHAnsi"/>
          <w:color w:val="auto"/>
          <w:lang w:val="fr-FR"/>
        </w:rPr>
        <w:t>Depuis 2013, le Burundi met en œuvre une importante réforme de son système éducatif, qui a fondu le niveau primaire (6 années) et le niveau collège (4 années) en un seul bloc complet dit enseignement fondamental scindé en 4 cycles. Les trois premiers cycles de deux ans chacun recouvrent l’ancien enseignement primaire et le quatrième cycle couvre les 7</w:t>
      </w:r>
      <w:r w:rsidRPr="002532EB">
        <w:rPr>
          <w:rFonts w:asciiTheme="majorHAnsi" w:hAnsiTheme="majorHAnsi" w:cstheme="majorHAnsi"/>
          <w:color w:val="auto"/>
          <w:vertAlign w:val="superscript"/>
          <w:lang w:val="fr-FR"/>
        </w:rPr>
        <w:t>ème</w:t>
      </w:r>
      <w:r w:rsidRPr="002532EB">
        <w:rPr>
          <w:rFonts w:asciiTheme="majorHAnsi" w:hAnsiTheme="majorHAnsi" w:cstheme="majorHAnsi"/>
          <w:color w:val="auto"/>
          <w:lang w:val="fr-FR"/>
        </w:rPr>
        <w:t>, 8</w:t>
      </w:r>
      <w:r w:rsidRPr="002532EB">
        <w:rPr>
          <w:rFonts w:asciiTheme="majorHAnsi" w:hAnsiTheme="majorHAnsi" w:cstheme="majorHAnsi"/>
          <w:color w:val="auto"/>
          <w:vertAlign w:val="superscript"/>
          <w:lang w:val="fr-FR"/>
        </w:rPr>
        <w:t>ème</w:t>
      </w:r>
      <w:r w:rsidRPr="002532EB">
        <w:rPr>
          <w:rFonts w:asciiTheme="majorHAnsi" w:hAnsiTheme="majorHAnsi" w:cstheme="majorHAnsi"/>
          <w:color w:val="auto"/>
          <w:lang w:val="fr-FR"/>
        </w:rPr>
        <w:t xml:space="preserve"> et 9</w:t>
      </w:r>
      <w:r w:rsidRPr="002532EB">
        <w:rPr>
          <w:rFonts w:asciiTheme="majorHAnsi" w:hAnsiTheme="majorHAnsi" w:cstheme="majorHAnsi"/>
          <w:color w:val="auto"/>
          <w:vertAlign w:val="superscript"/>
          <w:lang w:val="fr-FR"/>
        </w:rPr>
        <w:t>ème</w:t>
      </w:r>
      <w:r w:rsidRPr="002532EB">
        <w:rPr>
          <w:rFonts w:asciiTheme="majorHAnsi" w:hAnsiTheme="majorHAnsi" w:cstheme="majorHAnsi"/>
          <w:color w:val="auto"/>
          <w:lang w:val="fr-FR"/>
        </w:rPr>
        <w:t xml:space="preserve"> année. L’enseignement</w:t>
      </w:r>
      <w:r w:rsidRPr="0026017A">
        <w:rPr>
          <w:rFonts w:asciiTheme="majorHAnsi" w:hAnsiTheme="majorHAnsi" w:cstheme="majorHAnsi"/>
          <w:color w:val="auto"/>
          <w:lang w:val="fr-FR"/>
        </w:rPr>
        <w:t xml:space="preserve"> fondamental couvre donc 9 années d’enseignement, l’ancienne 4</w:t>
      </w:r>
      <w:r w:rsidRPr="0026017A">
        <w:rPr>
          <w:rFonts w:asciiTheme="majorHAnsi" w:hAnsiTheme="majorHAnsi" w:cstheme="majorHAnsi"/>
          <w:color w:val="auto"/>
          <w:vertAlign w:val="superscript"/>
          <w:lang w:val="fr-FR"/>
        </w:rPr>
        <w:t>ème</w:t>
      </w:r>
      <w:r w:rsidRPr="0026017A">
        <w:rPr>
          <w:rFonts w:asciiTheme="majorHAnsi" w:hAnsiTheme="majorHAnsi" w:cstheme="majorHAnsi"/>
          <w:color w:val="auto"/>
          <w:lang w:val="fr-FR"/>
        </w:rPr>
        <w:t xml:space="preserve"> année du collège a été définitivement supprimée à la rentrée 2016. La réforme de l’enseignement fondamental a démarré par le cycle 4, avec pour ambition de faire de ce cycle « le prolongement naturel de l’école primaire, dans ses finalités, ses méthodes et son organisation »</w:t>
      </w:r>
      <w:r w:rsidRPr="0026017A">
        <w:rPr>
          <w:rStyle w:val="FootnoteReference"/>
          <w:rFonts w:asciiTheme="majorHAnsi" w:hAnsiTheme="majorHAnsi" w:cstheme="majorHAnsi"/>
          <w:color w:val="auto"/>
          <w:lang w:val="fr-FR"/>
        </w:rPr>
        <w:footnoteReference w:id="1"/>
      </w:r>
    </w:p>
    <w:p w14:paraId="42AA5125" w14:textId="77777777" w:rsidR="00BD1AC2" w:rsidRPr="0026017A" w:rsidRDefault="00BD1AC2" w:rsidP="00BD1AC2">
      <w:pPr>
        <w:jc w:val="both"/>
        <w:rPr>
          <w:color w:val="auto"/>
          <w:sz w:val="20"/>
          <w:highlight w:val="cyan"/>
          <w:lang w:val="fr-FR"/>
        </w:rPr>
      </w:pPr>
    </w:p>
    <w:p w14:paraId="1AF7DD13" w14:textId="77777777" w:rsidR="00BD1AC2" w:rsidRPr="002532EB" w:rsidRDefault="00BD1AC2" w:rsidP="00BD1AC2">
      <w:pPr>
        <w:jc w:val="both"/>
        <w:rPr>
          <w:rFonts w:asciiTheme="majorHAnsi" w:hAnsiTheme="majorHAnsi" w:cstheme="majorHAnsi"/>
          <w:color w:val="auto"/>
          <w:lang w:val="fr-FR"/>
        </w:rPr>
      </w:pPr>
      <w:r w:rsidRPr="0026017A">
        <w:rPr>
          <w:rFonts w:asciiTheme="majorHAnsi" w:hAnsiTheme="majorHAnsi" w:cstheme="majorHAnsi"/>
          <w:color w:val="auto"/>
          <w:lang w:val="fr-FR"/>
        </w:rPr>
        <w:t>La réforme de l’enseignement fondamental a été sous-tendue par un Plan Sectoriel de Développement de l’Education et de la Formation (PSDEF</w:t>
      </w:r>
      <w:r>
        <w:rPr>
          <w:rFonts w:asciiTheme="majorHAnsi" w:hAnsiTheme="majorHAnsi" w:cstheme="majorHAnsi"/>
          <w:color w:val="auto"/>
          <w:lang w:val="fr-FR"/>
        </w:rPr>
        <w:t xml:space="preserve"> 2012-2020</w:t>
      </w:r>
      <w:r w:rsidRPr="0026017A">
        <w:rPr>
          <w:rFonts w:asciiTheme="majorHAnsi" w:hAnsiTheme="majorHAnsi" w:cstheme="majorHAnsi"/>
          <w:color w:val="auto"/>
          <w:lang w:val="fr-FR"/>
        </w:rPr>
        <w:t xml:space="preserve">), endossé par ses Partenaires Techniques et Financiers (PTF). Le PSDEF a bénéficié de l’appui </w:t>
      </w:r>
      <w:r>
        <w:rPr>
          <w:rFonts w:asciiTheme="majorHAnsi" w:hAnsiTheme="majorHAnsi" w:cstheme="majorHAnsi"/>
          <w:color w:val="auto"/>
          <w:lang w:val="fr-FR"/>
        </w:rPr>
        <w:t xml:space="preserve">des Partenaires techniques et financiers, y inclus le </w:t>
      </w:r>
      <w:r w:rsidRPr="0026017A">
        <w:rPr>
          <w:rFonts w:asciiTheme="majorHAnsi" w:hAnsiTheme="majorHAnsi" w:cstheme="majorHAnsi"/>
          <w:color w:val="auto"/>
          <w:lang w:val="fr-FR"/>
        </w:rPr>
        <w:t xml:space="preserve">Partenariat </w:t>
      </w:r>
      <w:r>
        <w:rPr>
          <w:rFonts w:asciiTheme="majorHAnsi" w:hAnsiTheme="majorHAnsi" w:cstheme="majorHAnsi"/>
          <w:color w:val="auto"/>
          <w:lang w:val="fr-FR"/>
        </w:rPr>
        <w:t>m</w:t>
      </w:r>
      <w:r w:rsidRPr="0026017A">
        <w:rPr>
          <w:rFonts w:asciiTheme="majorHAnsi" w:hAnsiTheme="majorHAnsi" w:cstheme="majorHAnsi"/>
          <w:color w:val="auto"/>
          <w:lang w:val="fr-FR"/>
        </w:rPr>
        <w:t>ondial pour l’</w:t>
      </w:r>
      <w:r>
        <w:rPr>
          <w:rFonts w:asciiTheme="majorHAnsi" w:hAnsiTheme="majorHAnsi" w:cstheme="majorHAnsi"/>
          <w:color w:val="auto"/>
          <w:lang w:val="fr-FR"/>
        </w:rPr>
        <w:t>é</w:t>
      </w:r>
      <w:r w:rsidRPr="0026017A">
        <w:rPr>
          <w:rFonts w:asciiTheme="majorHAnsi" w:hAnsiTheme="majorHAnsi" w:cstheme="majorHAnsi"/>
          <w:color w:val="auto"/>
          <w:lang w:val="fr-FR"/>
        </w:rPr>
        <w:t xml:space="preserve">ducation (PME) </w:t>
      </w:r>
      <w:r>
        <w:rPr>
          <w:rFonts w:asciiTheme="majorHAnsi" w:hAnsiTheme="majorHAnsi" w:cstheme="majorHAnsi"/>
          <w:color w:val="auto"/>
          <w:lang w:val="fr-FR"/>
        </w:rPr>
        <w:t xml:space="preserve">avec </w:t>
      </w:r>
      <w:r w:rsidRPr="0026017A">
        <w:rPr>
          <w:rFonts w:asciiTheme="majorHAnsi" w:hAnsiTheme="majorHAnsi" w:cstheme="majorHAnsi"/>
          <w:color w:val="auto"/>
          <w:lang w:val="fr-FR"/>
        </w:rPr>
        <w:t xml:space="preserve">un montant de 52,9 millions de dollars américains. La mise en œuvre de ce plan a permis d’engranger des résultats probants, particulièrement en termes d’accès, malgré la période de turbulences socio-politiques qu’a traversé le pays </w:t>
      </w:r>
      <w:r>
        <w:rPr>
          <w:rFonts w:asciiTheme="majorHAnsi" w:hAnsiTheme="majorHAnsi" w:cstheme="majorHAnsi"/>
          <w:color w:val="auto"/>
          <w:lang w:val="fr-FR"/>
        </w:rPr>
        <w:t xml:space="preserve">en </w:t>
      </w:r>
      <w:r w:rsidRPr="0026017A">
        <w:rPr>
          <w:rFonts w:asciiTheme="majorHAnsi" w:hAnsiTheme="majorHAnsi" w:cstheme="majorHAnsi"/>
          <w:color w:val="auto"/>
          <w:lang w:val="fr-FR"/>
        </w:rPr>
        <w:t>2015. En effet, il y a eu une expansion forte des scolarités à tous les niveaux d’enseignement. Entre 2004 et 2016, les effectifs du préscolaire ont triplé, ceux de l’ancien primaire ont plus que doublé pour atteindre environ 2,1 million</w:t>
      </w:r>
      <w:r>
        <w:rPr>
          <w:rFonts w:asciiTheme="majorHAnsi" w:hAnsiTheme="majorHAnsi" w:cstheme="majorHAnsi"/>
          <w:color w:val="auto"/>
          <w:lang w:val="fr-FR"/>
        </w:rPr>
        <w:t>s</w:t>
      </w:r>
      <w:r w:rsidRPr="0026017A">
        <w:rPr>
          <w:rFonts w:asciiTheme="majorHAnsi" w:hAnsiTheme="majorHAnsi" w:cstheme="majorHAnsi"/>
          <w:color w:val="auto"/>
          <w:lang w:val="fr-FR"/>
        </w:rPr>
        <w:t xml:space="preserve"> d’élèves, dont seulement 2% scolarisés dans le privé. Les effectifs correspondant au 4ème cycle du fondamental ont quant à eux </w:t>
      </w:r>
      <w:r>
        <w:rPr>
          <w:rFonts w:asciiTheme="majorHAnsi" w:hAnsiTheme="majorHAnsi" w:cstheme="majorHAnsi"/>
          <w:color w:val="auto"/>
          <w:lang w:val="fr-FR"/>
        </w:rPr>
        <w:t xml:space="preserve">ont </w:t>
      </w:r>
      <w:r w:rsidRPr="0026017A">
        <w:rPr>
          <w:rFonts w:asciiTheme="majorHAnsi" w:hAnsiTheme="majorHAnsi" w:cstheme="majorHAnsi"/>
          <w:color w:val="auto"/>
          <w:lang w:val="fr-FR"/>
        </w:rPr>
        <w:t xml:space="preserve">été multipliés par 4 pour atteindre environ 535 000 élèves. Ce quadruplement se retrouve au niveau de </w:t>
      </w:r>
      <w:r w:rsidRPr="002532EB">
        <w:rPr>
          <w:rFonts w:asciiTheme="majorHAnsi" w:hAnsiTheme="majorHAnsi" w:cstheme="majorHAnsi"/>
          <w:color w:val="auto"/>
          <w:lang w:val="fr-FR"/>
        </w:rPr>
        <w:t>l’enseignement secondaire général et technique</w:t>
      </w:r>
      <w:r w:rsidRPr="002532EB">
        <w:rPr>
          <w:rStyle w:val="FootnoteReference"/>
          <w:rFonts w:asciiTheme="majorHAnsi" w:hAnsiTheme="majorHAnsi" w:cstheme="majorHAnsi"/>
          <w:color w:val="auto"/>
          <w:lang w:val="fr-FR"/>
        </w:rPr>
        <w:footnoteReference w:id="2"/>
      </w:r>
      <w:r w:rsidRPr="002532EB">
        <w:rPr>
          <w:rFonts w:asciiTheme="majorHAnsi" w:hAnsiTheme="majorHAnsi" w:cstheme="majorHAnsi"/>
          <w:color w:val="auto"/>
          <w:lang w:val="fr-FR"/>
        </w:rPr>
        <w:t xml:space="preserve">. Toutefois, même si le système célèbre ces résultats les défis persistent., en témoigne le ratio moyen élèves/groupe pédagogique qui est de 54, grâce à l’utilisation massive de la double vacation qui concerne 54% des groupes pédagogiques, ce ratio pouvant dépasser 80% dans certaines régions du pays. Le cycle 1 présente systématiquement une situation plus critique que les autres cycles. En effet, pendant que le taux de redoublement des cycles 1 à 3 du fondamental était de 22% durant l’année scolaire 2015-2016, ce taux était de 25,3% au cycle 1 pour la même période. La taille des groupes pédagogiques pour le cycle 1 était de 62 alors qu’elle était de 54 pour les trois premiers cycles, </w:t>
      </w:r>
      <w:proofErr w:type="spellStart"/>
      <w:r w:rsidRPr="002532EB">
        <w:rPr>
          <w:rFonts w:asciiTheme="majorHAnsi" w:hAnsiTheme="majorHAnsi" w:cstheme="majorHAnsi"/>
          <w:color w:val="auto"/>
          <w:lang w:val="fr-FR"/>
        </w:rPr>
        <w:t>etc</w:t>
      </w:r>
      <w:proofErr w:type="spellEnd"/>
    </w:p>
    <w:p w14:paraId="31E8D335" w14:textId="77777777" w:rsidR="00BD1AC2" w:rsidRPr="002532EB" w:rsidRDefault="00BD1AC2" w:rsidP="00BD1AC2">
      <w:pPr>
        <w:jc w:val="both"/>
        <w:rPr>
          <w:rFonts w:asciiTheme="majorHAnsi" w:hAnsiTheme="majorHAnsi" w:cstheme="majorHAnsi"/>
          <w:color w:val="auto"/>
          <w:lang w:val="fr-FR"/>
        </w:rPr>
      </w:pPr>
    </w:p>
    <w:p w14:paraId="0591B435" w14:textId="77777777" w:rsidR="00BD1AC2" w:rsidRPr="0026017A" w:rsidRDefault="00BD1AC2" w:rsidP="00BD1AC2">
      <w:pPr>
        <w:jc w:val="both"/>
        <w:rPr>
          <w:rFonts w:asciiTheme="majorHAnsi" w:hAnsiTheme="majorHAnsi" w:cstheme="majorHAnsi"/>
          <w:color w:val="auto"/>
          <w:sz w:val="20"/>
          <w:lang w:val="fr-FR"/>
        </w:rPr>
      </w:pPr>
      <w:r w:rsidRPr="002532EB">
        <w:rPr>
          <w:rFonts w:asciiTheme="majorHAnsi" w:hAnsiTheme="majorHAnsi" w:cstheme="majorHAnsi"/>
          <w:color w:val="auto"/>
          <w:lang w:val="fr-FR"/>
        </w:rPr>
        <w:t>Le contexte sectoriel a été marqué par le contexte socio-politiques</w:t>
      </w:r>
      <w:r>
        <w:rPr>
          <w:rFonts w:asciiTheme="majorHAnsi" w:hAnsiTheme="majorHAnsi" w:cstheme="majorHAnsi"/>
          <w:color w:val="auto"/>
          <w:lang w:val="fr-FR"/>
        </w:rPr>
        <w:t xml:space="preserve">. Le dialogue sectoriel s’est amoindri, le Fonds Commun de l’Education a été mis en veille et </w:t>
      </w:r>
      <w:r w:rsidRPr="008A0FFD">
        <w:rPr>
          <w:rFonts w:asciiTheme="majorHAnsi" w:hAnsiTheme="majorHAnsi" w:cstheme="majorHAnsi"/>
          <w:color w:val="auto"/>
          <w:lang w:val="fr-FR"/>
        </w:rPr>
        <w:t xml:space="preserve">la </w:t>
      </w:r>
      <w:r>
        <w:rPr>
          <w:rFonts w:asciiTheme="majorHAnsi" w:hAnsiTheme="majorHAnsi" w:cstheme="majorHAnsi"/>
          <w:color w:val="auto"/>
          <w:lang w:val="fr-FR"/>
        </w:rPr>
        <w:t>première</w:t>
      </w:r>
      <w:r w:rsidRPr="008A0FFD">
        <w:rPr>
          <w:rFonts w:asciiTheme="majorHAnsi" w:hAnsiTheme="majorHAnsi" w:cstheme="majorHAnsi"/>
          <w:color w:val="auto"/>
          <w:lang w:val="fr-FR"/>
        </w:rPr>
        <w:t xml:space="preserve"> requête de financement PME concernant les fonds restants à décaisser a dû être révisée</w:t>
      </w:r>
      <w:r>
        <w:rPr>
          <w:rFonts w:asciiTheme="majorHAnsi" w:hAnsiTheme="majorHAnsi" w:cstheme="majorHAnsi"/>
          <w:color w:val="auto"/>
          <w:lang w:val="fr-FR"/>
        </w:rPr>
        <w:t> ;</w:t>
      </w:r>
      <w:r w:rsidRPr="008A0FFD">
        <w:rPr>
          <w:rFonts w:asciiTheme="majorHAnsi" w:hAnsiTheme="majorHAnsi" w:cstheme="majorHAnsi"/>
          <w:color w:val="auto"/>
          <w:lang w:val="fr-FR"/>
        </w:rPr>
        <w:t xml:space="preserve"> l’UNICEF s’est vu désigné, en juin 2016, comme nouvel Agent Partenaire prenant en charge l’exécution directe des activités du PACEF</w:t>
      </w:r>
      <w:r>
        <w:rPr>
          <w:rFonts w:asciiTheme="majorHAnsi" w:hAnsiTheme="majorHAnsi" w:cstheme="majorHAnsi"/>
          <w:color w:val="auto"/>
          <w:lang w:val="fr-FR"/>
        </w:rPr>
        <w:t>.</w:t>
      </w:r>
      <w:r w:rsidRPr="0026017A">
        <w:rPr>
          <w:rFonts w:asciiTheme="majorHAnsi" w:hAnsiTheme="majorHAnsi" w:cstheme="majorHAnsi"/>
          <w:color w:val="auto"/>
          <w:lang w:val="fr-FR"/>
        </w:rPr>
        <w:t xml:space="preserve"> </w:t>
      </w:r>
    </w:p>
    <w:p w14:paraId="41BB189D" w14:textId="77777777" w:rsidR="00BD1AC2" w:rsidRPr="0026017A" w:rsidRDefault="00BD1AC2" w:rsidP="00BD1AC2">
      <w:pPr>
        <w:jc w:val="both"/>
        <w:rPr>
          <w:rFonts w:asciiTheme="majorHAnsi" w:hAnsiTheme="majorHAnsi"/>
          <w:color w:val="auto"/>
          <w:lang w:val="fr-FR"/>
        </w:rPr>
      </w:pPr>
    </w:p>
    <w:p w14:paraId="41AC2430" w14:textId="56EDF6C3" w:rsidR="00BD1AC2" w:rsidRPr="0026017A" w:rsidRDefault="00BD1AC2" w:rsidP="00BD1AC2">
      <w:pPr>
        <w:jc w:val="both"/>
        <w:rPr>
          <w:rFonts w:asciiTheme="majorHAnsi" w:hAnsiTheme="majorHAnsi"/>
          <w:color w:val="auto"/>
          <w:lang w:val="fr-FR"/>
        </w:rPr>
      </w:pPr>
      <w:r w:rsidRPr="0026017A">
        <w:rPr>
          <w:rFonts w:asciiTheme="majorHAnsi" w:hAnsiTheme="majorHAnsi"/>
          <w:color w:val="auto"/>
          <w:lang w:val="fr-FR"/>
        </w:rPr>
        <w:t>Entre 201</w:t>
      </w:r>
      <w:r>
        <w:rPr>
          <w:rFonts w:asciiTheme="majorHAnsi" w:hAnsiTheme="majorHAnsi"/>
          <w:color w:val="auto"/>
          <w:lang w:val="fr-FR"/>
        </w:rPr>
        <w:t>6</w:t>
      </w:r>
      <w:r w:rsidRPr="0026017A">
        <w:rPr>
          <w:rFonts w:asciiTheme="majorHAnsi" w:hAnsiTheme="majorHAnsi"/>
          <w:color w:val="auto"/>
          <w:lang w:val="fr-FR"/>
        </w:rPr>
        <w:t xml:space="preserve"> et 201</w:t>
      </w:r>
      <w:r>
        <w:rPr>
          <w:rFonts w:asciiTheme="majorHAnsi" w:hAnsiTheme="majorHAnsi"/>
          <w:color w:val="auto"/>
          <w:lang w:val="fr-FR"/>
        </w:rPr>
        <w:t>8</w:t>
      </w:r>
      <w:r w:rsidRPr="0026017A">
        <w:rPr>
          <w:rFonts w:asciiTheme="majorHAnsi" w:hAnsiTheme="majorHAnsi"/>
          <w:color w:val="auto"/>
          <w:lang w:val="fr-FR"/>
        </w:rPr>
        <w:t xml:space="preserve">, le Ministère de l’Education, de la Formation Technique et Professionnelle (MEFTP), avec l’appui de ses PTF et de l’IIPE-Pôle de Dakar a </w:t>
      </w:r>
      <w:r>
        <w:rPr>
          <w:rFonts w:asciiTheme="majorHAnsi" w:hAnsiTheme="majorHAnsi"/>
          <w:color w:val="auto"/>
          <w:lang w:val="fr-FR"/>
        </w:rPr>
        <w:t>finalis</w:t>
      </w:r>
      <w:r w:rsidRPr="0026017A">
        <w:rPr>
          <w:rFonts w:asciiTheme="majorHAnsi" w:hAnsiTheme="majorHAnsi"/>
          <w:color w:val="auto"/>
          <w:lang w:val="fr-FR"/>
        </w:rPr>
        <w:t xml:space="preserve">é son diagnostic sectoriel </w:t>
      </w:r>
      <w:r>
        <w:rPr>
          <w:rFonts w:asciiTheme="majorHAnsi" w:hAnsiTheme="majorHAnsi"/>
          <w:color w:val="auto"/>
          <w:lang w:val="fr-FR"/>
        </w:rPr>
        <w:t xml:space="preserve">et élaboré un Plan transitoire de l’éducation </w:t>
      </w:r>
      <w:r w:rsidRPr="0026017A">
        <w:rPr>
          <w:rFonts w:asciiTheme="majorHAnsi" w:hAnsiTheme="majorHAnsi"/>
          <w:color w:val="auto"/>
          <w:lang w:val="fr-FR"/>
        </w:rPr>
        <w:t>en dépit du contexte d</w:t>
      </w:r>
      <w:r>
        <w:rPr>
          <w:rFonts w:asciiTheme="majorHAnsi" w:hAnsiTheme="majorHAnsi"/>
          <w:color w:val="auto"/>
          <w:lang w:val="fr-FR"/>
        </w:rPr>
        <w:t>ifficile</w:t>
      </w:r>
      <w:r w:rsidRPr="0026017A">
        <w:rPr>
          <w:rFonts w:asciiTheme="majorHAnsi" w:hAnsiTheme="majorHAnsi"/>
          <w:color w:val="auto"/>
          <w:lang w:val="fr-FR"/>
        </w:rPr>
        <w:t>. L</w:t>
      </w:r>
      <w:r>
        <w:rPr>
          <w:rFonts w:asciiTheme="majorHAnsi" w:hAnsiTheme="majorHAnsi"/>
          <w:color w:val="auto"/>
          <w:lang w:val="fr-FR"/>
        </w:rPr>
        <w:t xml:space="preserve">’endossement du PTE a </w:t>
      </w:r>
      <w:r w:rsidR="00C82D0A">
        <w:rPr>
          <w:rFonts w:asciiTheme="majorHAnsi" w:hAnsiTheme="majorHAnsi"/>
          <w:color w:val="auto"/>
          <w:lang w:val="fr-FR"/>
        </w:rPr>
        <w:t>permis</w:t>
      </w:r>
      <w:r w:rsidR="00C82D0A" w:rsidRPr="0026017A">
        <w:rPr>
          <w:rFonts w:asciiTheme="majorHAnsi" w:hAnsiTheme="majorHAnsi"/>
          <w:color w:val="auto"/>
          <w:lang w:val="fr-FR"/>
        </w:rPr>
        <w:t xml:space="preserve"> </w:t>
      </w:r>
      <w:r w:rsidR="00C82D0A">
        <w:rPr>
          <w:rFonts w:asciiTheme="majorHAnsi" w:hAnsiTheme="majorHAnsi"/>
          <w:color w:val="auto"/>
          <w:lang w:val="fr-FR"/>
        </w:rPr>
        <w:t>au</w:t>
      </w:r>
      <w:r>
        <w:rPr>
          <w:rFonts w:asciiTheme="majorHAnsi" w:hAnsiTheme="majorHAnsi"/>
          <w:color w:val="auto"/>
          <w:lang w:val="fr-FR"/>
        </w:rPr>
        <w:t xml:space="preserve"> </w:t>
      </w:r>
      <w:r w:rsidRPr="0026017A">
        <w:rPr>
          <w:rFonts w:asciiTheme="majorHAnsi" w:hAnsiTheme="majorHAnsi"/>
          <w:color w:val="auto"/>
          <w:lang w:val="fr-FR"/>
        </w:rPr>
        <w:t xml:space="preserve">Ministère </w:t>
      </w:r>
      <w:r>
        <w:rPr>
          <w:rFonts w:asciiTheme="majorHAnsi" w:hAnsiTheme="majorHAnsi"/>
          <w:color w:val="auto"/>
          <w:lang w:val="fr-FR"/>
        </w:rPr>
        <w:t>de</w:t>
      </w:r>
      <w:r w:rsidRPr="0026017A">
        <w:rPr>
          <w:rFonts w:asciiTheme="majorHAnsi" w:hAnsiTheme="majorHAnsi"/>
          <w:color w:val="auto"/>
          <w:lang w:val="fr-FR"/>
        </w:rPr>
        <w:t xml:space="preserve"> bénéfici</w:t>
      </w:r>
      <w:r>
        <w:rPr>
          <w:rFonts w:asciiTheme="majorHAnsi" w:hAnsiTheme="majorHAnsi"/>
          <w:color w:val="auto"/>
          <w:lang w:val="fr-FR"/>
        </w:rPr>
        <w:t>er</w:t>
      </w:r>
      <w:r w:rsidRPr="0026017A">
        <w:rPr>
          <w:rFonts w:asciiTheme="majorHAnsi" w:hAnsiTheme="majorHAnsi"/>
          <w:color w:val="auto"/>
          <w:lang w:val="fr-FR"/>
        </w:rPr>
        <w:t xml:space="preserve"> d’un </w:t>
      </w:r>
      <w:r>
        <w:rPr>
          <w:rFonts w:asciiTheme="majorHAnsi" w:hAnsiTheme="majorHAnsi"/>
          <w:color w:val="auto"/>
          <w:lang w:val="fr-FR"/>
        </w:rPr>
        <w:t xml:space="preserve">second </w:t>
      </w:r>
      <w:r w:rsidRPr="0026017A">
        <w:rPr>
          <w:rFonts w:asciiTheme="majorHAnsi" w:hAnsiTheme="majorHAnsi"/>
          <w:color w:val="auto"/>
          <w:lang w:val="fr-FR"/>
        </w:rPr>
        <w:t xml:space="preserve">financement de 25.6 millions de dollars Américains auprès du </w:t>
      </w:r>
      <w:r>
        <w:rPr>
          <w:rFonts w:asciiTheme="majorHAnsi" w:hAnsiTheme="majorHAnsi"/>
          <w:color w:val="auto"/>
          <w:lang w:val="fr-FR"/>
        </w:rPr>
        <w:t>S</w:t>
      </w:r>
      <w:r w:rsidRPr="0026017A">
        <w:rPr>
          <w:rFonts w:asciiTheme="majorHAnsi" w:hAnsiTheme="majorHAnsi"/>
          <w:color w:val="auto"/>
          <w:lang w:val="fr-FR"/>
        </w:rPr>
        <w:t>ecrétariat du PME. Ce financement</w:t>
      </w:r>
      <w:r>
        <w:rPr>
          <w:rFonts w:asciiTheme="majorHAnsi" w:hAnsiTheme="majorHAnsi"/>
          <w:color w:val="auto"/>
          <w:lang w:val="fr-FR"/>
        </w:rPr>
        <w:t xml:space="preserve">, </w:t>
      </w:r>
      <w:r>
        <w:rPr>
          <w:rFonts w:asciiTheme="majorHAnsi" w:hAnsiTheme="majorHAnsi"/>
          <w:color w:val="auto"/>
          <w:lang w:val="fr-FR"/>
        </w:rPr>
        <w:lastRenderedPageBreak/>
        <w:t xml:space="preserve">mobilisé à travers le </w:t>
      </w:r>
      <w:r w:rsidRPr="0026017A">
        <w:rPr>
          <w:rFonts w:asciiTheme="majorHAnsi" w:hAnsiTheme="majorHAnsi"/>
          <w:color w:val="auto"/>
          <w:lang w:val="fr-FR"/>
        </w:rPr>
        <w:t xml:space="preserve">programme TWIGE NEZA appui la mise en œuvre du Plan Transitoire de l’Education (PTE) endossé par les PTF en juillet 2018. Le Ministère vient aussi de s’engager dans un processus de requête d’un financement supplémentaire de 21.3 millions de dollars auprès du PME en complément du programme TWIGE NEZA. Ces financements s’ajoutent aux autres contributions des PTE et contribuent à la consolidation des acquis du système éducatif. </w:t>
      </w:r>
    </w:p>
    <w:p w14:paraId="03F52786" w14:textId="77777777" w:rsidR="00BD1AC2" w:rsidRPr="0026017A" w:rsidRDefault="00BD1AC2" w:rsidP="00BD1AC2">
      <w:pPr>
        <w:jc w:val="both"/>
        <w:rPr>
          <w:rFonts w:asciiTheme="majorHAnsi" w:hAnsiTheme="majorHAnsi"/>
          <w:color w:val="auto"/>
          <w:lang w:val="fr-FR"/>
        </w:rPr>
      </w:pPr>
    </w:p>
    <w:p w14:paraId="6EF9EA3D" w14:textId="77777777" w:rsidR="00BD1AC2" w:rsidRDefault="00BD1AC2" w:rsidP="00BD1AC2">
      <w:pPr>
        <w:jc w:val="both"/>
        <w:rPr>
          <w:rFonts w:asciiTheme="majorHAnsi" w:hAnsiTheme="majorHAnsi"/>
          <w:color w:val="auto"/>
          <w:lang w:val="fr-FR"/>
        </w:rPr>
      </w:pPr>
      <w:r w:rsidRPr="008A0FFD">
        <w:rPr>
          <w:rFonts w:asciiTheme="majorHAnsi" w:hAnsiTheme="majorHAnsi"/>
          <w:color w:val="auto"/>
          <w:lang w:val="fr-FR"/>
        </w:rPr>
        <w:t>Aujourd’hui, le dialogue sectoriel est revigoré, les autorités s’apprêtent à s’engager dans un nouveau cycle de planification sectorielle à long terme et le secteur bénéficie d’une priorisation politique dans l’agenda national du développement : plus du cinquième du budget annuel de l’Etat 2019-2020 est consacré à l’éducation.</w:t>
      </w:r>
    </w:p>
    <w:p w14:paraId="049C0699" w14:textId="77777777" w:rsidR="00BD1AC2" w:rsidRDefault="00BD1AC2" w:rsidP="00BD1AC2">
      <w:pPr>
        <w:jc w:val="both"/>
        <w:rPr>
          <w:rFonts w:asciiTheme="majorHAnsi" w:hAnsiTheme="majorHAnsi"/>
          <w:color w:val="auto"/>
          <w:lang w:val="fr-FR"/>
        </w:rPr>
      </w:pPr>
    </w:p>
    <w:p w14:paraId="70B5C65D" w14:textId="77777777" w:rsidR="00BD1AC2" w:rsidRPr="0026017A" w:rsidRDefault="00BD1AC2" w:rsidP="00BD1AC2">
      <w:pPr>
        <w:jc w:val="both"/>
        <w:rPr>
          <w:rFonts w:asciiTheme="majorHAnsi" w:hAnsiTheme="majorHAnsi"/>
          <w:color w:val="auto"/>
          <w:lang w:val="fr-FR"/>
        </w:rPr>
      </w:pPr>
      <w:r w:rsidRPr="0026017A">
        <w:rPr>
          <w:rFonts w:asciiTheme="majorHAnsi" w:hAnsiTheme="majorHAnsi"/>
          <w:color w:val="auto"/>
          <w:lang w:val="fr-FR"/>
        </w:rPr>
        <w:t>C’est dans ce contexte que l’Unicef, en sa qualité de chef de file des PTF et en étroite collaboration avec ces derniers, accompagne le Gouvernement du Burundi dans la mise en œuvre de ce PTE qui se traduit par l’exécution du Plan d’Actions Triennal Budgétisé (PATB) 2018-2020 qui en est sa déclinaison opérationnelle.</w:t>
      </w:r>
    </w:p>
    <w:p w14:paraId="0887D320" w14:textId="77777777" w:rsidR="00BD1AC2" w:rsidRPr="0026017A" w:rsidRDefault="00BD1AC2" w:rsidP="00BD1AC2">
      <w:pPr>
        <w:jc w:val="both"/>
        <w:rPr>
          <w:rFonts w:asciiTheme="majorHAnsi" w:hAnsiTheme="majorHAnsi"/>
          <w:color w:val="auto"/>
          <w:lang w:val="fr-FR"/>
        </w:rPr>
      </w:pPr>
    </w:p>
    <w:p w14:paraId="5DBB377C" w14:textId="77777777" w:rsidR="00BD1AC2" w:rsidRPr="0026017A" w:rsidRDefault="00BD1AC2" w:rsidP="00BD1AC2">
      <w:pPr>
        <w:jc w:val="both"/>
        <w:rPr>
          <w:rFonts w:asciiTheme="majorHAnsi" w:hAnsiTheme="majorHAnsi"/>
          <w:color w:val="auto"/>
          <w:lang w:val="fr-FR"/>
        </w:rPr>
      </w:pPr>
      <w:r>
        <w:rPr>
          <w:rFonts w:asciiTheme="majorHAnsi" w:hAnsiTheme="majorHAnsi"/>
          <w:color w:val="auto"/>
          <w:lang w:val="fr-FR"/>
        </w:rPr>
        <w:t>P</w:t>
      </w:r>
      <w:r w:rsidRPr="0026017A">
        <w:rPr>
          <w:rFonts w:asciiTheme="majorHAnsi" w:hAnsiTheme="majorHAnsi"/>
          <w:color w:val="auto"/>
          <w:lang w:val="fr-FR"/>
        </w:rPr>
        <w:t>lusieurs activités d</w:t>
      </w:r>
      <w:r>
        <w:rPr>
          <w:rFonts w:asciiTheme="majorHAnsi" w:hAnsiTheme="majorHAnsi"/>
          <w:color w:val="auto"/>
          <w:lang w:val="fr-FR"/>
        </w:rPr>
        <w:t>u</w:t>
      </w:r>
      <w:r w:rsidRPr="0026017A">
        <w:rPr>
          <w:rFonts w:asciiTheme="majorHAnsi" w:hAnsiTheme="majorHAnsi"/>
          <w:color w:val="auto"/>
          <w:lang w:val="fr-FR"/>
        </w:rPr>
        <w:t xml:space="preserve"> PATB sont en exécution depuis 2018. Conformément aux dispositions institutionnelles prises pour la réussite de la mise en œuvre du PTE, le Gouvernement entend convier ses PTF à une revue à mi-parcours au mois de mars 2020 en vue d’apprécier les progrès réalisés, les contraintes rencontrées, les leçons apprises de la mise en œuvre du PATB, en vue de procéder aux ajustements si besoin. </w:t>
      </w:r>
    </w:p>
    <w:p w14:paraId="724C671C" w14:textId="77777777" w:rsidR="00BD1AC2" w:rsidRPr="0026017A" w:rsidRDefault="00BD1AC2" w:rsidP="00BD1AC2">
      <w:pPr>
        <w:jc w:val="both"/>
        <w:rPr>
          <w:rFonts w:asciiTheme="majorHAnsi" w:hAnsiTheme="majorHAnsi"/>
          <w:color w:val="auto"/>
          <w:lang w:val="fr-FR"/>
        </w:rPr>
      </w:pPr>
      <w:r w:rsidRPr="0026017A">
        <w:rPr>
          <w:rFonts w:asciiTheme="majorHAnsi" w:hAnsiTheme="majorHAnsi"/>
          <w:color w:val="auto"/>
          <w:lang w:val="fr-FR"/>
        </w:rPr>
        <w:t>C’est dans ce cadre que l’Unicef, en sa qualité de chef de file</w:t>
      </w:r>
      <w:r>
        <w:rPr>
          <w:rFonts w:asciiTheme="majorHAnsi" w:hAnsiTheme="majorHAnsi"/>
          <w:color w:val="auto"/>
          <w:lang w:val="fr-FR"/>
        </w:rPr>
        <w:t xml:space="preserve"> et agence de coordination </w:t>
      </w:r>
      <w:r w:rsidRPr="0026017A">
        <w:rPr>
          <w:rFonts w:asciiTheme="majorHAnsi" w:hAnsiTheme="majorHAnsi"/>
          <w:color w:val="auto"/>
          <w:lang w:val="fr-FR"/>
        </w:rPr>
        <w:t>et en soutien à la mise en œuvre de ce PATB cherche un consultant qui accompagnera le Ministère de l’Education</w:t>
      </w:r>
      <w:r>
        <w:rPr>
          <w:rFonts w:asciiTheme="majorHAnsi" w:hAnsiTheme="majorHAnsi"/>
          <w:color w:val="auto"/>
          <w:lang w:val="fr-FR"/>
        </w:rPr>
        <w:t>,</w:t>
      </w:r>
      <w:r w:rsidRPr="0026017A">
        <w:rPr>
          <w:rFonts w:asciiTheme="majorHAnsi" w:hAnsiTheme="majorHAnsi"/>
          <w:color w:val="auto"/>
          <w:lang w:val="fr-FR"/>
        </w:rPr>
        <w:t xml:space="preserve"> Formation Technique et Professionnelle </w:t>
      </w:r>
      <w:r>
        <w:rPr>
          <w:rFonts w:asciiTheme="majorHAnsi" w:hAnsiTheme="majorHAnsi"/>
          <w:color w:val="auto"/>
          <w:lang w:val="fr-FR"/>
        </w:rPr>
        <w:t xml:space="preserve">et ses partenaires </w:t>
      </w:r>
      <w:r w:rsidRPr="0026017A">
        <w:rPr>
          <w:rFonts w:asciiTheme="majorHAnsi" w:hAnsiTheme="majorHAnsi"/>
          <w:color w:val="auto"/>
          <w:lang w:val="fr-FR"/>
        </w:rPr>
        <w:t>dans l’élaboration des documents techniques de support et l’organisation/facilitation de la revue conjointe qui sera participative et inclusive.</w:t>
      </w:r>
    </w:p>
    <w:p w14:paraId="781C9FEB" w14:textId="77777777" w:rsidR="00BD1AC2" w:rsidRPr="0026017A" w:rsidRDefault="00BD1AC2" w:rsidP="00BD1AC2">
      <w:pPr>
        <w:rPr>
          <w:b/>
          <w:color w:val="auto"/>
          <w:sz w:val="24"/>
          <w:szCs w:val="24"/>
          <w:lang w:val="fr-FR"/>
        </w:rPr>
      </w:pPr>
    </w:p>
    <w:p w14:paraId="2F48ABC6" w14:textId="1B106B1C" w:rsidR="00C83D91" w:rsidRPr="00BD1AC2" w:rsidRDefault="00C83D91" w:rsidP="00C83D91">
      <w:pPr>
        <w:jc w:val="both"/>
        <w:rPr>
          <w:rFonts w:asciiTheme="majorHAnsi" w:hAnsiTheme="majorHAnsi" w:cstheme="majorHAnsi"/>
          <w:lang w:val="fr-FR"/>
        </w:rPr>
      </w:pPr>
    </w:p>
    <w:p w14:paraId="69768830" w14:textId="48734A32" w:rsidR="006009CA" w:rsidRPr="00DC72F7" w:rsidRDefault="00C83D91" w:rsidP="006009CA">
      <w:pPr>
        <w:shd w:val="clear" w:color="auto" w:fill="D9D9D9"/>
        <w:rPr>
          <w:b/>
          <w:sz w:val="24"/>
          <w:szCs w:val="24"/>
          <w:lang w:val="fr-FR"/>
        </w:rPr>
      </w:pPr>
      <w:r>
        <w:rPr>
          <w:b/>
          <w:sz w:val="24"/>
          <w:szCs w:val="24"/>
          <w:lang w:val="fr-FR"/>
        </w:rPr>
        <w:t>Champs de travail</w:t>
      </w:r>
    </w:p>
    <w:p w14:paraId="035398AB" w14:textId="77777777" w:rsidR="006009CA" w:rsidRPr="00DC72F7" w:rsidRDefault="006009CA" w:rsidP="006009CA">
      <w:pPr>
        <w:rPr>
          <w:b/>
          <w:sz w:val="24"/>
          <w:szCs w:val="24"/>
          <w:lang w:val="fr-FR"/>
        </w:rPr>
      </w:pPr>
    </w:p>
    <w:p w14:paraId="7A584E27" w14:textId="77777777" w:rsidR="00BD1AC2" w:rsidRPr="0026017A" w:rsidRDefault="00BD1AC2" w:rsidP="00BD1AC2">
      <w:pPr>
        <w:jc w:val="both"/>
        <w:rPr>
          <w:rFonts w:asciiTheme="majorHAnsi" w:hAnsiTheme="majorHAnsi"/>
          <w:color w:val="auto"/>
          <w:lang w:val="fr-FR"/>
        </w:rPr>
      </w:pPr>
      <w:r w:rsidRPr="0026017A">
        <w:rPr>
          <w:rFonts w:asciiTheme="majorHAnsi" w:hAnsiTheme="majorHAnsi"/>
          <w:color w:val="auto"/>
          <w:lang w:val="fr-FR"/>
        </w:rPr>
        <w:t xml:space="preserve">L’objectif général est de faire le bilan de la mise en œuvre des activités du PATB 2018-2020 inscrites au titre de l’année </w:t>
      </w:r>
      <w:r>
        <w:rPr>
          <w:rFonts w:asciiTheme="majorHAnsi" w:hAnsiTheme="majorHAnsi"/>
          <w:color w:val="auto"/>
          <w:lang w:val="fr-FR"/>
        </w:rPr>
        <w:t>2019</w:t>
      </w:r>
      <w:r w:rsidRPr="0026017A">
        <w:rPr>
          <w:rFonts w:asciiTheme="majorHAnsi" w:hAnsiTheme="majorHAnsi"/>
          <w:color w:val="auto"/>
          <w:lang w:val="fr-FR"/>
        </w:rPr>
        <w:t xml:space="preserve"> dans tous ses aspects (déclinaison en programmation annuelle, exécution, suivi, à la fois technique et financier), d’apprécier les politiques et stratégies menées et les résultats obtenus pour </w:t>
      </w:r>
      <w:r>
        <w:rPr>
          <w:rFonts w:asciiTheme="majorHAnsi" w:hAnsiTheme="majorHAnsi"/>
          <w:color w:val="auto"/>
          <w:lang w:val="fr-FR"/>
        </w:rPr>
        <w:t>l</w:t>
      </w:r>
      <w:r w:rsidRPr="0026017A">
        <w:rPr>
          <w:rFonts w:asciiTheme="majorHAnsi" w:hAnsiTheme="majorHAnsi"/>
          <w:color w:val="auto"/>
          <w:lang w:val="fr-FR"/>
        </w:rPr>
        <w:t xml:space="preserve">e sous-secteur </w:t>
      </w:r>
      <w:r>
        <w:rPr>
          <w:rFonts w:asciiTheme="majorHAnsi" w:hAnsiTheme="majorHAnsi"/>
          <w:color w:val="auto"/>
          <w:lang w:val="fr-FR"/>
        </w:rPr>
        <w:t xml:space="preserve">de l’enseignement fondamental au </w:t>
      </w:r>
      <w:r w:rsidRPr="0026017A">
        <w:rPr>
          <w:rFonts w:asciiTheme="majorHAnsi" w:hAnsiTheme="majorHAnsi"/>
          <w:color w:val="auto"/>
          <w:lang w:val="fr-FR"/>
        </w:rPr>
        <w:t xml:space="preserve">cours de cette période au regard des objectifs et des orientations stratégiques des documents de politique sectorielle. </w:t>
      </w:r>
    </w:p>
    <w:p w14:paraId="28BB2D66" w14:textId="77777777" w:rsidR="00BD1AC2" w:rsidRPr="0026017A" w:rsidRDefault="00BD1AC2" w:rsidP="00BD1AC2">
      <w:pPr>
        <w:ind w:left="360"/>
        <w:jc w:val="both"/>
        <w:rPr>
          <w:rFonts w:asciiTheme="majorHAnsi" w:hAnsiTheme="majorHAnsi"/>
          <w:color w:val="auto"/>
          <w:lang w:val="fr-FR"/>
        </w:rPr>
      </w:pPr>
    </w:p>
    <w:p w14:paraId="2FC96604" w14:textId="77777777" w:rsidR="00BD1AC2" w:rsidRPr="0026017A" w:rsidRDefault="00BD1AC2" w:rsidP="00BD1AC2">
      <w:pPr>
        <w:jc w:val="both"/>
        <w:rPr>
          <w:rFonts w:asciiTheme="majorHAnsi" w:hAnsiTheme="majorHAnsi"/>
          <w:color w:val="auto"/>
          <w:lang w:val="fr-FR"/>
        </w:rPr>
      </w:pPr>
      <w:r w:rsidRPr="0026017A">
        <w:rPr>
          <w:rFonts w:asciiTheme="majorHAnsi" w:hAnsiTheme="majorHAnsi"/>
          <w:color w:val="auto"/>
          <w:lang w:val="fr-FR"/>
        </w:rPr>
        <w:t xml:space="preserve">A partir des enseignements dégagés, le consultant appuiera la formulation de recommandations opérationnelles dans le but de faciliter l’atteinte des objectifs, mais aussi d’ajuster les stratégies de mise en œuvre au cas </w:t>
      </w:r>
      <w:r w:rsidRPr="0026017A">
        <w:rPr>
          <w:rFonts w:asciiTheme="majorHAnsi" w:hAnsiTheme="majorHAnsi" w:cstheme="majorHAnsi"/>
          <w:color w:val="auto"/>
          <w:lang w:val="fr-FR"/>
        </w:rPr>
        <w:t>é</w:t>
      </w:r>
      <w:r w:rsidRPr="0026017A">
        <w:rPr>
          <w:rFonts w:asciiTheme="majorHAnsi" w:hAnsiTheme="majorHAnsi"/>
          <w:color w:val="auto"/>
          <w:lang w:val="fr-FR"/>
        </w:rPr>
        <w:t>ch</w:t>
      </w:r>
      <w:r w:rsidRPr="0026017A">
        <w:rPr>
          <w:rFonts w:asciiTheme="majorHAnsi" w:hAnsiTheme="majorHAnsi" w:cstheme="majorHAnsi"/>
          <w:color w:val="auto"/>
          <w:lang w:val="fr-FR"/>
        </w:rPr>
        <w:t>é</w:t>
      </w:r>
      <w:r w:rsidRPr="0026017A">
        <w:rPr>
          <w:rFonts w:asciiTheme="majorHAnsi" w:hAnsiTheme="majorHAnsi"/>
          <w:color w:val="auto"/>
          <w:lang w:val="fr-FR"/>
        </w:rPr>
        <w:t xml:space="preserve">ant. </w:t>
      </w:r>
    </w:p>
    <w:p w14:paraId="5C5B77A0" w14:textId="77777777" w:rsidR="00BD1AC2" w:rsidRDefault="00BD1AC2" w:rsidP="00BD1AC2">
      <w:pPr>
        <w:jc w:val="both"/>
        <w:rPr>
          <w:rFonts w:asciiTheme="majorHAnsi" w:hAnsiTheme="majorHAnsi"/>
          <w:color w:val="auto"/>
          <w:lang w:val="fr-FR"/>
        </w:rPr>
      </w:pPr>
    </w:p>
    <w:p w14:paraId="3C091C9A" w14:textId="77777777" w:rsidR="00BD1AC2" w:rsidRPr="002532EB" w:rsidRDefault="00BD1AC2" w:rsidP="00BD1AC2">
      <w:pPr>
        <w:jc w:val="both"/>
        <w:rPr>
          <w:rFonts w:asciiTheme="majorHAnsi" w:hAnsiTheme="majorHAnsi"/>
          <w:color w:val="auto"/>
          <w:lang w:val="fr-FR"/>
        </w:rPr>
      </w:pPr>
      <w:r w:rsidRPr="0026017A">
        <w:rPr>
          <w:rFonts w:asciiTheme="majorHAnsi" w:hAnsiTheme="majorHAnsi"/>
          <w:color w:val="auto"/>
          <w:lang w:val="fr-FR"/>
        </w:rPr>
        <w:t xml:space="preserve">La revue sectorielle sera l’occasion d’ébaucher une première mouture du Plan d’Action 2020 (PA 2020) sur base de l’appréciation de la mise en œuvre des activités et des résultats obtenus et du cadre organisationnel et institutionnel. Les recommandations se baseront également sur l’analyse des contraintes identifiées dans le cadre de la mise en œuvre du PATB 2018-2020 (y compris les coûts et les financements et notamment l’efficacité de la dépense, les questions de passation des marchés, les décaissements, le contexte politique, etc.). </w:t>
      </w:r>
      <w:r>
        <w:rPr>
          <w:rFonts w:asciiTheme="majorHAnsi" w:hAnsiTheme="majorHAnsi"/>
          <w:color w:val="auto"/>
          <w:lang w:val="fr-FR"/>
        </w:rPr>
        <w:t xml:space="preserve">La revue conjointe constituera aussi une occasion </w:t>
      </w:r>
      <w:r w:rsidRPr="002532EB">
        <w:rPr>
          <w:rFonts w:asciiTheme="majorHAnsi" w:hAnsiTheme="majorHAnsi"/>
          <w:color w:val="auto"/>
          <w:lang w:val="fr-FR"/>
        </w:rPr>
        <w:t xml:space="preserve">de </w:t>
      </w:r>
      <w:r>
        <w:rPr>
          <w:rFonts w:asciiTheme="majorHAnsi" w:hAnsiTheme="majorHAnsi"/>
          <w:color w:val="auto"/>
          <w:lang w:val="fr-FR"/>
        </w:rPr>
        <w:t xml:space="preserve">réfléchir </w:t>
      </w:r>
      <w:r w:rsidRPr="002532EB">
        <w:rPr>
          <w:rFonts w:asciiTheme="majorHAnsi" w:hAnsiTheme="majorHAnsi"/>
          <w:color w:val="auto"/>
          <w:lang w:val="fr-FR"/>
        </w:rPr>
        <w:t>sur l’impact de cet exercice au Burundi et les points d’amélioration et de facilitation à l’égard des PTF pour un meilleur suivi des recommandations.</w:t>
      </w:r>
    </w:p>
    <w:p w14:paraId="449B13DD" w14:textId="77777777" w:rsidR="00BD1AC2" w:rsidRPr="002532EB" w:rsidRDefault="00BD1AC2" w:rsidP="00BD1AC2">
      <w:pPr>
        <w:jc w:val="both"/>
        <w:rPr>
          <w:rFonts w:asciiTheme="majorHAnsi" w:hAnsiTheme="majorHAnsi"/>
          <w:color w:val="auto"/>
          <w:lang w:val="fr-FR"/>
        </w:rPr>
      </w:pPr>
    </w:p>
    <w:p w14:paraId="7451C4A4" w14:textId="77777777" w:rsidR="00BD1AC2" w:rsidRPr="0026017A" w:rsidRDefault="00BD1AC2" w:rsidP="00BD1AC2">
      <w:pPr>
        <w:jc w:val="both"/>
        <w:rPr>
          <w:rFonts w:asciiTheme="majorHAnsi" w:hAnsiTheme="majorHAnsi" w:cstheme="majorHAnsi"/>
          <w:color w:val="auto"/>
          <w:szCs w:val="22"/>
          <w:lang w:val="fr-FR"/>
        </w:rPr>
      </w:pPr>
      <w:r w:rsidRPr="0026017A">
        <w:rPr>
          <w:rFonts w:asciiTheme="majorHAnsi" w:hAnsiTheme="majorHAnsi" w:cstheme="majorHAnsi"/>
          <w:color w:val="auto"/>
          <w:szCs w:val="22"/>
          <w:lang w:val="fr-FR"/>
        </w:rPr>
        <w:t>Les objectifs spécifiques sont :</w:t>
      </w:r>
    </w:p>
    <w:p w14:paraId="7FF1CA7A" w14:textId="77777777" w:rsidR="00BD1AC2" w:rsidRPr="0026017A" w:rsidRDefault="00BD1AC2" w:rsidP="00BD1AC2">
      <w:pPr>
        <w:jc w:val="both"/>
        <w:rPr>
          <w:rFonts w:asciiTheme="majorHAnsi" w:hAnsiTheme="majorHAnsi" w:cstheme="majorHAnsi"/>
          <w:color w:val="auto"/>
          <w:szCs w:val="22"/>
          <w:lang w:val="fr-FR"/>
        </w:rPr>
      </w:pPr>
    </w:p>
    <w:p w14:paraId="79F19C48" w14:textId="77777777" w:rsidR="00BD1AC2" w:rsidRPr="0026017A" w:rsidRDefault="00BD1AC2" w:rsidP="00BD1AC2">
      <w:pPr>
        <w:pStyle w:val="ListParagraph"/>
        <w:numPr>
          <w:ilvl w:val="0"/>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 xml:space="preserve">Documenter </w:t>
      </w:r>
      <w:r>
        <w:rPr>
          <w:rFonts w:asciiTheme="majorHAnsi" w:hAnsiTheme="majorHAnsi" w:cstheme="majorHAnsi"/>
          <w:sz w:val="22"/>
          <w:szCs w:val="22"/>
          <w:lang w:val="fr-FR"/>
        </w:rPr>
        <w:t xml:space="preserve">et réaliser un état des lieux de </w:t>
      </w:r>
      <w:r w:rsidRPr="0026017A">
        <w:rPr>
          <w:rFonts w:asciiTheme="majorHAnsi" w:hAnsiTheme="majorHAnsi" w:cstheme="majorHAnsi"/>
          <w:sz w:val="22"/>
          <w:szCs w:val="22"/>
          <w:lang w:val="fr-FR"/>
        </w:rPr>
        <w:t>la mise en œuvre (déclinaison en programmation annuelle, exécution, suivi à la fois technique et financier) des activités et les résultats obtenus dans le cadre du PATB 2018-2020 en analysant :</w:t>
      </w:r>
    </w:p>
    <w:p w14:paraId="45058100" w14:textId="77777777" w:rsidR="00BD1AC2" w:rsidRPr="0026017A" w:rsidRDefault="00BD1AC2" w:rsidP="00BD1AC2">
      <w:pPr>
        <w:pStyle w:val="ListParagraph"/>
        <w:numPr>
          <w:ilvl w:val="1"/>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lastRenderedPageBreak/>
        <w:t>Les écarts entre les activités planifiées et celles effectivement mises en œuvre au cours de la période ;</w:t>
      </w:r>
    </w:p>
    <w:p w14:paraId="7F32A6CD" w14:textId="77777777" w:rsidR="00BD1AC2" w:rsidRPr="0026017A" w:rsidRDefault="00BD1AC2" w:rsidP="00BD1AC2">
      <w:pPr>
        <w:pStyle w:val="ListParagraph"/>
        <w:numPr>
          <w:ilvl w:val="1"/>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La qualité des stratégies menées, en termes de pertinence, d’efficacité, d’efficience et de durabilité, pour atteindre les objectifs visés ;</w:t>
      </w:r>
    </w:p>
    <w:p w14:paraId="55360374" w14:textId="77777777" w:rsidR="00BD1AC2" w:rsidRPr="0026017A" w:rsidRDefault="00BD1AC2" w:rsidP="00BD1AC2">
      <w:pPr>
        <w:pStyle w:val="ListParagraph"/>
        <w:numPr>
          <w:ilvl w:val="1"/>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Les indicateurs de performance tels que définis dans le cadre de résultat du PATB ;</w:t>
      </w:r>
    </w:p>
    <w:p w14:paraId="142F5215" w14:textId="77777777" w:rsidR="00BD1AC2" w:rsidRPr="0026017A" w:rsidRDefault="00BD1AC2" w:rsidP="00BD1AC2">
      <w:pPr>
        <w:pStyle w:val="ListParagraph"/>
        <w:numPr>
          <w:ilvl w:val="1"/>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Les réformes et programmes majeurs qui ont eu une incidence significative sur les performances du système.</w:t>
      </w:r>
    </w:p>
    <w:p w14:paraId="766CBA68" w14:textId="77777777" w:rsidR="00BD1AC2" w:rsidRPr="0026017A" w:rsidRDefault="00BD1AC2" w:rsidP="00BD1AC2">
      <w:pPr>
        <w:pStyle w:val="ListParagraph"/>
        <w:ind w:left="1440"/>
        <w:jc w:val="both"/>
        <w:rPr>
          <w:rFonts w:asciiTheme="majorHAnsi" w:hAnsiTheme="majorHAnsi" w:cstheme="majorHAnsi"/>
          <w:sz w:val="22"/>
          <w:szCs w:val="22"/>
          <w:lang w:val="fr-FR"/>
        </w:rPr>
      </w:pPr>
    </w:p>
    <w:p w14:paraId="44380C43" w14:textId="77777777" w:rsidR="00BD1AC2" w:rsidRPr="0026017A" w:rsidRDefault="00BD1AC2" w:rsidP="00BD1AC2">
      <w:pPr>
        <w:pStyle w:val="ListParagraph"/>
        <w:numPr>
          <w:ilvl w:val="0"/>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Evaluer le cadre organisationnel et institutionnel dans lequel s’est déroulé la mise en œuvre du PATB, en particulier :</w:t>
      </w:r>
    </w:p>
    <w:p w14:paraId="353B3025" w14:textId="77777777" w:rsidR="00BD1AC2" w:rsidRPr="0026017A" w:rsidRDefault="00BD1AC2" w:rsidP="00BD1AC2">
      <w:pPr>
        <w:pStyle w:val="ListParagraph"/>
        <w:numPr>
          <w:ilvl w:val="1"/>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Les capacités institutionnelles et organisationnelles à concevoir, planifier et mettre en œuvre le PATB ;</w:t>
      </w:r>
    </w:p>
    <w:p w14:paraId="3AB2D20F" w14:textId="77777777" w:rsidR="00BD1AC2" w:rsidRPr="0026017A" w:rsidRDefault="00BD1AC2" w:rsidP="00BD1AC2">
      <w:pPr>
        <w:pStyle w:val="ListParagraph"/>
        <w:numPr>
          <w:ilvl w:val="1"/>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La cohérence entre la planification annuelle et sa déclinaison pratique dans l’exécution des activités et des dépenses ;</w:t>
      </w:r>
    </w:p>
    <w:p w14:paraId="79316263" w14:textId="77777777" w:rsidR="00BD1AC2" w:rsidRPr="0026017A" w:rsidRDefault="00BD1AC2" w:rsidP="00BD1AC2">
      <w:pPr>
        <w:pStyle w:val="ListParagraph"/>
        <w:numPr>
          <w:ilvl w:val="1"/>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Les arrangements institutionnels retenus (élaboration, pilotage, coordination, gestion, suivi-évaluation et rapportage, etc.) aux différents niveaux d’exécution du PATB, avec les différents partenaires et acteurs intervenants dans le secteur ;</w:t>
      </w:r>
    </w:p>
    <w:p w14:paraId="7698611B" w14:textId="77777777" w:rsidR="00BD1AC2" w:rsidRPr="0026017A" w:rsidRDefault="00BD1AC2" w:rsidP="00BD1AC2">
      <w:pPr>
        <w:pStyle w:val="ListParagraph"/>
        <w:numPr>
          <w:ilvl w:val="1"/>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Les outils de programmation et de suivi des dépenses ;</w:t>
      </w:r>
    </w:p>
    <w:p w14:paraId="4ED22D70" w14:textId="77777777" w:rsidR="00BD1AC2" w:rsidRPr="0026017A" w:rsidRDefault="00BD1AC2" w:rsidP="00BD1AC2">
      <w:pPr>
        <w:pStyle w:val="ListParagraph"/>
        <w:numPr>
          <w:ilvl w:val="1"/>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Les processus et outils de planification, de mise en œuvre, de suivi et évaluation, de rapportage technique et financier ;</w:t>
      </w:r>
    </w:p>
    <w:p w14:paraId="7025F96D" w14:textId="77777777" w:rsidR="00BD1AC2" w:rsidRPr="0026017A" w:rsidRDefault="00BD1AC2" w:rsidP="00BD1AC2">
      <w:pPr>
        <w:pStyle w:val="ListParagraph"/>
        <w:numPr>
          <w:ilvl w:val="1"/>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L’appropriation par l’ensemble des acteurs du PATB et des mécanismes de mise en œuvre.</w:t>
      </w:r>
    </w:p>
    <w:p w14:paraId="7BDEBF55" w14:textId="77777777" w:rsidR="00BD1AC2" w:rsidRPr="0026017A" w:rsidRDefault="00BD1AC2" w:rsidP="00BD1AC2">
      <w:pPr>
        <w:pStyle w:val="ListParagraph"/>
        <w:ind w:left="1440"/>
        <w:jc w:val="both"/>
        <w:rPr>
          <w:rFonts w:asciiTheme="majorHAnsi" w:hAnsiTheme="majorHAnsi" w:cstheme="majorHAnsi"/>
          <w:sz w:val="22"/>
          <w:szCs w:val="22"/>
          <w:lang w:val="fr-FR"/>
        </w:rPr>
      </w:pPr>
    </w:p>
    <w:p w14:paraId="2B5F2015" w14:textId="77777777" w:rsidR="00BD1AC2" w:rsidRPr="0026017A" w:rsidRDefault="00BD1AC2" w:rsidP="00BD1AC2">
      <w:pPr>
        <w:pStyle w:val="ListParagraph"/>
        <w:numPr>
          <w:ilvl w:val="0"/>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Rédiger les TDR des ateliers thématiques et les rapports de ces ateliers.</w:t>
      </w:r>
    </w:p>
    <w:p w14:paraId="7B5E975F" w14:textId="77777777" w:rsidR="00BD1AC2" w:rsidRPr="0026017A" w:rsidRDefault="00BD1AC2" w:rsidP="00BD1AC2">
      <w:pPr>
        <w:pStyle w:val="ListParagraph"/>
        <w:numPr>
          <w:ilvl w:val="0"/>
          <w:numId w:val="17"/>
        </w:numPr>
        <w:spacing w:after="200" w:line="276" w:lineRule="auto"/>
        <w:contextualSpacing/>
        <w:jc w:val="both"/>
        <w:rPr>
          <w:rFonts w:asciiTheme="majorHAnsi" w:hAnsiTheme="majorHAnsi" w:cstheme="majorHAnsi"/>
          <w:sz w:val="22"/>
          <w:szCs w:val="22"/>
          <w:lang w:val="fr-FR"/>
        </w:rPr>
      </w:pPr>
      <w:r w:rsidRPr="0026017A">
        <w:rPr>
          <w:rFonts w:asciiTheme="majorHAnsi" w:hAnsiTheme="majorHAnsi" w:cstheme="majorHAnsi"/>
          <w:sz w:val="22"/>
          <w:szCs w:val="22"/>
          <w:lang w:val="fr-FR"/>
        </w:rPr>
        <w:t>Elaborer l’aide-mémoire</w:t>
      </w:r>
      <w:r>
        <w:rPr>
          <w:rFonts w:asciiTheme="majorHAnsi" w:hAnsiTheme="majorHAnsi" w:cstheme="majorHAnsi"/>
          <w:sz w:val="22"/>
          <w:szCs w:val="22"/>
          <w:lang w:val="fr-FR"/>
        </w:rPr>
        <w:t xml:space="preserve">, </w:t>
      </w:r>
      <w:r w:rsidRPr="0026017A">
        <w:rPr>
          <w:rFonts w:asciiTheme="majorHAnsi" w:hAnsiTheme="majorHAnsi" w:cstheme="majorHAnsi"/>
          <w:sz w:val="22"/>
          <w:szCs w:val="22"/>
          <w:lang w:val="fr-FR"/>
        </w:rPr>
        <w:t xml:space="preserve">les recommandations </w:t>
      </w:r>
      <w:r>
        <w:rPr>
          <w:rFonts w:asciiTheme="majorHAnsi" w:hAnsiTheme="majorHAnsi" w:cstheme="majorHAnsi"/>
          <w:sz w:val="22"/>
          <w:szCs w:val="22"/>
          <w:lang w:val="fr-FR"/>
        </w:rPr>
        <w:t>et le rapport de consultance.</w:t>
      </w:r>
      <w:r w:rsidRPr="0026017A">
        <w:rPr>
          <w:rFonts w:asciiTheme="majorHAnsi" w:hAnsiTheme="majorHAnsi" w:cstheme="majorHAnsi"/>
          <w:sz w:val="22"/>
          <w:szCs w:val="22"/>
          <w:lang w:val="fr-FR"/>
        </w:rPr>
        <w:t>de la revue.</w:t>
      </w:r>
    </w:p>
    <w:p w14:paraId="3C4ECCB9" w14:textId="0F81C4B6" w:rsidR="00C83D91" w:rsidRPr="00BA16B2" w:rsidRDefault="00BD1AC2" w:rsidP="00C83D91">
      <w:pPr>
        <w:jc w:val="both"/>
        <w:rPr>
          <w:rFonts w:asciiTheme="majorHAnsi" w:hAnsiTheme="majorHAnsi" w:cstheme="majorHAnsi"/>
        </w:rPr>
      </w:pPr>
      <w:r w:rsidRPr="0026017A">
        <w:rPr>
          <w:rFonts w:asciiTheme="majorHAnsi" w:hAnsiTheme="majorHAnsi" w:cstheme="majorHAnsi"/>
          <w:color w:val="auto"/>
          <w:szCs w:val="22"/>
          <w:lang w:val="fr-FR"/>
        </w:rPr>
        <w:t xml:space="preserve">Dans ce cadre, le consultant national travaillera en étroite collaboration avec </w:t>
      </w:r>
      <w:r w:rsidR="00C83D91" w:rsidRPr="00BA16B2">
        <w:rPr>
          <w:rFonts w:asciiTheme="majorHAnsi" w:hAnsiTheme="majorHAnsi" w:cstheme="majorHAnsi"/>
        </w:rPr>
        <w:t>les c</w:t>
      </w:r>
      <w:r w:rsidR="00C83D91">
        <w:rPr>
          <w:rFonts w:asciiTheme="majorHAnsi" w:hAnsiTheme="majorHAnsi" w:cstheme="majorHAnsi"/>
        </w:rPr>
        <w:t>a</w:t>
      </w:r>
      <w:r w:rsidR="00C83D91" w:rsidRPr="00BA16B2">
        <w:rPr>
          <w:rFonts w:asciiTheme="majorHAnsi" w:hAnsiTheme="majorHAnsi" w:cstheme="majorHAnsi"/>
        </w:rPr>
        <w:t>dres du BPSE et particulièrment ceux en charge d</w:t>
      </w:r>
      <w:r>
        <w:rPr>
          <w:rFonts w:asciiTheme="majorHAnsi" w:hAnsiTheme="majorHAnsi" w:cstheme="majorHAnsi"/>
        </w:rPr>
        <w:t>u pilotage du secteur</w:t>
      </w:r>
      <w:r w:rsidR="00C83D91" w:rsidRPr="00BA16B2">
        <w:rPr>
          <w:rFonts w:asciiTheme="majorHAnsi" w:hAnsiTheme="majorHAnsi" w:cstheme="majorHAnsi"/>
        </w:rPr>
        <w:t>.</w:t>
      </w:r>
    </w:p>
    <w:p w14:paraId="15A134D7" w14:textId="3610999E" w:rsidR="00E72E46" w:rsidRDefault="00E72E46" w:rsidP="00E72E46">
      <w:pPr>
        <w:spacing w:before="240" w:after="240" w:line="259" w:lineRule="auto"/>
        <w:contextualSpacing/>
        <w:jc w:val="both"/>
        <w:rPr>
          <w:rFonts w:asciiTheme="majorHAnsi" w:hAnsiTheme="majorHAnsi" w:cstheme="majorHAnsi"/>
          <w:b/>
          <w:szCs w:val="22"/>
        </w:rPr>
      </w:pPr>
    </w:p>
    <w:p w14:paraId="5A394C28" w14:textId="77777777" w:rsidR="001937E7" w:rsidRPr="00BA16B2" w:rsidRDefault="001937E7" w:rsidP="001937E7">
      <w:pPr>
        <w:spacing w:before="240" w:after="240" w:line="259" w:lineRule="auto"/>
        <w:contextualSpacing/>
        <w:jc w:val="both"/>
        <w:rPr>
          <w:rFonts w:asciiTheme="majorHAnsi" w:hAnsiTheme="majorHAnsi" w:cstheme="majorHAnsi"/>
          <w:b/>
          <w:szCs w:val="22"/>
        </w:rPr>
      </w:pPr>
    </w:p>
    <w:p w14:paraId="632B8FA4" w14:textId="7CE460A6" w:rsidR="001937E7" w:rsidRPr="00FB5841" w:rsidRDefault="001937E7" w:rsidP="001937E7">
      <w:pPr>
        <w:shd w:val="clear" w:color="auto" w:fill="D9D9D9"/>
        <w:rPr>
          <w:rFonts w:asciiTheme="majorHAnsi" w:hAnsiTheme="majorHAnsi" w:cstheme="majorHAnsi"/>
          <w:b/>
          <w:sz w:val="24"/>
          <w:szCs w:val="24"/>
          <w:lang w:val="fr-FR"/>
        </w:rPr>
      </w:pPr>
      <w:r w:rsidRPr="001937E7">
        <w:rPr>
          <w:rFonts w:asciiTheme="majorHAnsi" w:hAnsiTheme="majorHAnsi" w:cstheme="majorHAnsi"/>
          <w:b/>
          <w:sz w:val="24"/>
          <w:szCs w:val="24"/>
          <w:lang w:val="fr-FR"/>
        </w:rPr>
        <w:t>Méthodologie</w:t>
      </w:r>
    </w:p>
    <w:p w14:paraId="796D6321" w14:textId="4E3A7BF4" w:rsidR="00BD1AC2" w:rsidRPr="0026017A" w:rsidRDefault="00BD1AC2" w:rsidP="00BD1AC2">
      <w:pPr>
        <w:spacing w:before="240" w:after="240" w:line="259" w:lineRule="auto"/>
        <w:jc w:val="both"/>
        <w:rPr>
          <w:rFonts w:asciiTheme="majorHAnsi" w:hAnsiTheme="majorHAnsi" w:cstheme="majorHAnsi"/>
          <w:color w:val="auto"/>
          <w:szCs w:val="22"/>
          <w:lang w:val="fr-FR"/>
        </w:rPr>
      </w:pPr>
      <w:r w:rsidRPr="0026017A">
        <w:rPr>
          <w:rFonts w:asciiTheme="majorHAnsi" w:hAnsiTheme="majorHAnsi" w:cstheme="majorHAnsi"/>
          <w:color w:val="auto"/>
          <w:szCs w:val="22"/>
          <w:lang w:val="fr-FR"/>
        </w:rPr>
        <w:t>Le consultant</w:t>
      </w:r>
      <w:r>
        <w:rPr>
          <w:rFonts w:asciiTheme="majorHAnsi" w:hAnsiTheme="majorHAnsi" w:cstheme="majorHAnsi"/>
          <w:color w:val="auto"/>
          <w:szCs w:val="22"/>
          <w:lang w:val="fr-FR"/>
        </w:rPr>
        <w:t xml:space="preserve"> qui sera basé dans le </w:t>
      </w:r>
      <w:r w:rsidR="00466751">
        <w:rPr>
          <w:rFonts w:asciiTheme="majorHAnsi" w:hAnsiTheme="majorHAnsi" w:cstheme="majorHAnsi"/>
          <w:color w:val="auto"/>
          <w:szCs w:val="22"/>
          <w:lang w:val="fr-FR"/>
        </w:rPr>
        <w:t>département</w:t>
      </w:r>
      <w:r>
        <w:rPr>
          <w:rFonts w:asciiTheme="majorHAnsi" w:hAnsiTheme="majorHAnsi" w:cstheme="majorHAnsi"/>
          <w:color w:val="auto"/>
          <w:szCs w:val="22"/>
          <w:lang w:val="fr-FR"/>
        </w:rPr>
        <w:t xml:space="preserve"> de la planification et des statistiques de l’</w:t>
      </w:r>
      <w:r w:rsidR="00466751">
        <w:rPr>
          <w:rFonts w:asciiTheme="majorHAnsi" w:hAnsiTheme="majorHAnsi" w:cstheme="majorHAnsi"/>
          <w:color w:val="auto"/>
          <w:szCs w:val="22"/>
          <w:lang w:val="fr-FR"/>
        </w:rPr>
        <w:t>éducation</w:t>
      </w:r>
      <w:r>
        <w:rPr>
          <w:rFonts w:asciiTheme="majorHAnsi" w:hAnsiTheme="majorHAnsi" w:cstheme="majorHAnsi"/>
          <w:color w:val="auto"/>
          <w:szCs w:val="22"/>
          <w:lang w:val="fr-FR"/>
        </w:rPr>
        <w:t xml:space="preserve"> du Ministère de l’éducation, de la formation technique et professionnelle </w:t>
      </w:r>
      <w:r w:rsidRPr="0026017A">
        <w:rPr>
          <w:rFonts w:asciiTheme="majorHAnsi" w:hAnsiTheme="majorHAnsi" w:cstheme="majorHAnsi"/>
          <w:color w:val="auto"/>
          <w:szCs w:val="22"/>
          <w:lang w:val="fr-FR"/>
        </w:rPr>
        <w:t>développera des outils de collecte de l’information qu’il partagera avec le BPSE et l</w:t>
      </w:r>
      <w:r>
        <w:rPr>
          <w:rFonts w:asciiTheme="majorHAnsi" w:hAnsiTheme="majorHAnsi" w:cstheme="majorHAnsi"/>
          <w:color w:val="auto"/>
          <w:szCs w:val="22"/>
          <w:lang w:val="fr-FR"/>
        </w:rPr>
        <w:t>es PTF</w:t>
      </w:r>
      <w:r w:rsidRPr="0026017A">
        <w:rPr>
          <w:rFonts w:asciiTheme="majorHAnsi" w:hAnsiTheme="majorHAnsi" w:cstheme="majorHAnsi"/>
          <w:color w:val="auto"/>
          <w:szCs w:val="22"/>
          <w:lang w:val="fr-FR"/>
        </w:rPr>
        <w:t xml:space="preserve"> pour validation. Lesdits outils seront administrés aux responsables des différentes directions et services techniques du ministère qui contribuent à la mise en œuvre des politiques et plans de l’éducation, mais aussi aux responsables des projets et programmes qui concourent à l’atteinte des résultats consignés dans les politiques et programmes.</w:t>
      </w:r>
    </w:p>
    <w:p w14:paraId="7480E13F" w14:textId="77777777" w:rsidR="00BD1AC2" w:rsidRPr="0026017A" w:rsidRDefault="00BD1AC2" w:rsidP="00BD1AC2">
      <w:pPr>
        <w:spacing w:before="240" w:after="240" w:line="259" w:lineRule="auto"/>
        <w:jc w:val="both"/>
        <w:rPr>
          <w:rFonts w:asciiTheme="majorHAnsi" w:hAnsiTheme="majorHAnsi" w:cstheme="majorHAnsi"/>
          <w:color w:val="auto"/>
          <w:szCs w:val="22"/>
          <w:lang w:val="fr-FR"/>
        </w:rPr>
      </w:pPr>
      <w:r w:rsidRPr="0026017A">
        <w:rPr>
          <w:rFonts w:asciiTheme="majorHAnsi" w:hAnsiTheme="majorHAnsi" w:cstheme="majorHAnsi"/>
          <w:color w:val="auto"/>
          <w:szCs w:val="22"/>
          <w:lang w:val="fr-FR"/>
        </w:rPr>
        <w:t xml:space="preserve">Cette collecte croisée des données permettra de recouper les informations obtenues en vue de la production d’un état des lieux assez exhaustif du secteur, qui alimentera les discussions de la revue.  </w:t>
      </w:r>
    </w:p>
    <w:p w14:paraId="0F4E1C42" w14:textId="77777777" w:rsidR="00BD1AC2" w:rsidRPr="0026017A" w:rsidRDefault="00BD1AC2" w:rsidP="00BD1AC2">
      <w:pPr>
        <w:spacing w:before="240" w:after="240" w:line="259" w:lineRule="auto"/>
        <w:jc w:val="both"/>
        <w:rPr>
          <w:rFonts w:asciiTheme="majorHAnsi" w:hAnsiTheme="majorHAnsi" w:cstheme="majorHAnsi"/>
          <w:color w:val="auto"/>
          <w:szCs w:val="22"/>
          <w:lang w:val="fr-FR"/>
        </w:rPr>
      </w:pPr>
      <w:r w:rsidRPr="0026017A">
        <w:rPr>
          <w:rFonts w:asciiTheme="majorHAnsi" w:hAnsiTheme="majorHAnsi" w:cstheme="majorHAnsi"/>
          <w:color w:val="auto"/>
          <w:szCs w:val="22"/>
          <w:lang w:val="fr-FR"/>
        </w:rPr>
        <w:t xml:space="preserve">Pour faciliter les échanges, des groupes de travail thématiques </w:t>
      </w:r>
      <w:r>
        <w:rPr>
          <w:rFonts w:asciiTheme="majorHAnsi" w:hAnsiTheme="majorHAnsi" w:cstheme="majorHAnsi"/>
          <w:color w:val="auto"/>
          <w:szCs w:val="22"/>
          <w:lang w:val="fr-FR"/>
        </w:rPr>
        <w:t xml:space="preserve">et transversaux (genre, vulnérabilité, </w:t>
      </w:r>
      <w:proofErr w:type="spellStart"/>
      <w:r>
        <w:rPr>
          <w:rFonts w:asciiTheme="majorHAnsi" w:hAnsiTheme="majorHAnsi" w:cstheme="majorHAnsi"/>
          <w:color w:val="auto"/>
          <w:szCs w:val="22"/>
          <w:lang w:val="fr-FR"/>
        </w:rPr>
        <w:t>etc</w:t>
      </w:r>
      <w:proofErr w:type="spellEnd"/>
      <w:r>
        <w:rPr>
          <w:rFonts w:asciiTheme="majorHAnsi" w:hAnsiTheme="majorHAnsi" w:cstheme="majorHAnsi"/>
          <w:color w:val="auto"/>
          <w:szCs w:val="22"/>
          <w:lang w:val="fr-FR"/>
        </w:rPr>
        <w:t xml:space="preserve">) </w:t>
      </w:r>
      <w:r w:rsidRPr="0026017A">
        <w:rPr>
          <w:rFonts w:asciiTheme="majorHAnsi" w:hAnsiTheme="majorHAnsi" w:cstheme="majorHAnsi"/>
          <w:color w:val="auto"/>
          <w:szCs w:val="22"/>
          <w:lang w:val="fr-FR"/>
        </w:rPr>
        <w:t xml:space="preserve">seront organisés. Leurs travaux seront guidés par de petites notes d’orientation rédigées par le consultant avec l’appui du BPSE. </w:t>
      </w:r>
    </w:p>
    <w:p w14:paraId="429ED8E2" w14:textId="77777777" w:rsidR="00BD1AC2" w:rsidRPr="0026017A" w:rsidRDefault="00BD1AC2" w:rsidP="00BD1AC2">
      <w:pPr>
        <w:spacing w:before="240" w:after="240" w:line="259" w:lineRule="auto"/>
        <w:jc w:val="both"/>
        <w:rPr>
          <w:rFonts w:asciiTheme="majorHAnsi" w:hAnsiTheme="majorHAnsi" w:cstheme="majorHAnsi"/>
          <w:color w:val="auto"/>
          <w:szCs w:val="22"/>
          <w:lang w:val="fr-FR"/>
        </w:rPr>
      </w:pPr>
      <w:r w:rsidRPr="0026017A">
        <w:rPr>
          <w:rFonts w:asciiTheme="majorHAnsi" w:hAnsiTheme="majorHAnsi" w:cstheme="majorHAnsi"/>
          <w:color w:val="auto"/>
          <w:szCs w:val="22"/>
          <w:lang w:val="fr-FR"/>
        </w:rPr>
        <w:lastRenderedPageBreak/>
        <w:t>Le format de la revue sera une succession de travaux de groupes ponctuée par des mises en commun au travers des séances plénières.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5"/>
        <w:gridCol w:w="2890"/>
        <w:gridCol w:w="2150"/>
        <w:gridCol w:w="1383"/>
      </w:tblGrid>
      <w:tr w:rsidR="00BD1AC2" w:rsidRPr="0026017A" w14:paraId="28950AC0" w14:textId="77777777" w:rsidTr="00277B96">
        <w:tc>
          <w:tcPr>
            <w:tcW w:w="3225" w:type="dxa"/>
            <w:shd w:val="clear" w:color="auto" w:fill="FFD966" w:themeFill="accent4" w:themeFillTint="99"/>
          </w:tcPr>
          <w:p w14:paraId="62F325D3" w14:textId="77777777" w:rsidR="00BD1AC2" w:rsidRPr="0026017A" w:rsidRDefault="00BD1AC2" w:rsidP="00277B96">
            <w:pPr>
              <w:rPr>
                <w:rFonts w:asciiTheme="majorHAnsi" w:hAnsiTheme="majorHAnsi" w:cstheme="majorHAnsi"/>
                <w:b/>
                <w:color w:val="auto"/>
                <w:szCs w:val="22"/>
                <w:lang w:val="fr-FR"/>
              </w:rPr>
            </w:pPr>
            <w:r w:rsidRPr="0026017A">
              <w:rPr>
                <w:rFonts w:asciiTheme="majorHAnsi" w:hAnsiTheme="majorHAnsi" w:cstheme="majorHAnsi"/>
                <w:b/>
                <w:color w:val="auto"/>
                <w:szCs w:val="22"/>
                <w:lang w:val="fr-FR"/>
              </w:rPr>
              <w:t>Livrables</w:t>
            </w:r>
          </w:p>
        </w:tc>
        <w:tc>
          <w:tcPr>
            <w:tcW w:w="2890" w:type="dxa"/>
            <w:shd w:val="clear" w:color="auto" w:fill="FFD966" w:themeFill="accent4" w:themeFillTint="99"/>
          </w:tcPr>
          <w:p w14:paraId="24FEF3AF" w14:textId="77777777" w:rsidR="00BD1AC2" w:rsidRPr="0026017A" w:rsidRDefault="00BD1AC2" w:rsidP="00277B96">
            <w:pPr>
              <w:jc w:val="center"/>
              <w:rPr>
                <w:rFonts w:asciiTheme="majorHAnsi" w:hAnsiTheme="majorHAnsi" w:cstheme="majorHAnsi"/>
                <w:b/>
                <w:color w:val="auto"/>
                <w:szCs w:val="22"/>
                <w:lang w:val="fr-FR"/>
              </w:rPr>
            </w:pPr>
            <w:r w:rsidRPr="0026017A">
              <w:rPr>
                <w:rFonts w:asciiTheme="majorHAnsi" w:hAnsiTheme="majorHAnsi" w:cstheme="majorHAnsi"/>
                <w:b/>
                <w:color w:val="auto"/>
                <w:szCs w:val="22"/>
                <w:lang w:val="fr-FR"/>
              </w:rPr>
              <w:t>Durée</w:t>
            </w:r>
          </w:p>
          <w:p w14:paraId="63D746DB" w14:textId="77777777" w:rsidR="00BD1AC2" w:rsidRPr="0026017A" w:rsidRDefault="00BD1AC2" w:rsidP="00277B96">
            <w:pPr>
              <w:jc w:val="center"/>
              <w:rPr>
                <w:rFonts w:asciiTheme="majorHAnsi" w:hAnsiTheme="majorHAnsi" w:cstheme="majorHAnsi"/>
                <w:b/>
                <w:color w:val="auto"/>
                <w:szCs w:val="22"/>
                <w:lang w:val="fr-FR"/>
              </w:rPr>
            </w:pPr>
            <w:r w:rsidRPr="0026017A">
              <w:rPr>
                <w:rFonts w:asciiTheme="majorHAnsi" w:hAnsiTheme="majorHAnsi" w:cstheme="majorHAnsi"/>
                <w:b/>
                <w:color w:val="auto"/>
                <w:szCs w:val="22"/>
                <w:lang w:val="fr-FR"/>
              </w:rPr>
              <w:t>(# de jours ou mois estimes)</w:t>
            </w:r>
          </w:p>
        </w:tc>
        <w:tc>
          <w:tcPr>
            <w:tcW w:w="2150" w:type="dxa"/>
            <w:shd w:val="clear" w:color="auto" w:fill="FFD966" w:themeFill="accent4" w:themeFillTint="99"/>
          </w:tcPr>
          <w:p w14:paraId="54C627EF" w14:textId="77777777" w:rsidR="00BD1AC2" w:rsidRPr="0026017A" w:rsidRDefault="00BD1AC2" w:rsidP="00277B96">
            <w:pPr>
              <w:jc w:val="center"/>
              <w:rPr>
                <w:rFonts w:asciiTheme="majorHAnsi" w:hAnsiTheme="majorHAnsi" w:cstheme="majorHAnsi"/>
                <w:b/>
                <w:color w:val="auto"/>
                <w:szCs w:val="22"/>
                <w:lang w:val="fr-FR"/>
              </w:rPr>
            </w:pPr>
            <w:r w:rsidRPr="0026017A">
              <w:rPr>
                <w:rFonts w:asciiTheme="majorHAnsi" w:hAnsiTheme="majorHAnsi" w:cstheme="majorHAnsi"/>
                <w:b/>
                <w:color w:val="auto"/>
                <w:szCs w:val="22"/>
                <w:lang w:val="fr-FR"/>
              </w:rPr>
              <w:t>P</w:t>
            </w:r>
            <w:r>
              <w:rPr>
                <w:rFonts w:asciiTheme="majorHAnsi" w:hAnsiTheme="majorHAnsi" w:cstheme="majorHAnsi"/>
                <w:b/>
                <w:color w:val="auto"/>
                <w:szCs w:val="22"/>
                <w:lang w:val="fr-FR"/>
              </w:rPr>
              <w:t>é</w:t>
            </w:r>
            <w:r w:rsidRPr="0026017A">
              <w:rPr>
                <w:rFonts w:asciiTheme="majorHAnsi" w:hAnsiTheme="majorHAnsi" w:cstheme="majorHAnsi"/>
                <w:b/>
                <w:color w:val="auto"/>
                <w:szCs w:val="22"/>
                <w:lang w:val="fr-FR"/>
              </w:rPr>
              <w:t>riodes de temps</w:t>
            </w:r>
          </w:p>
        </w:tc>
        <w:tc>
          <w:tcPr>
            <w:tcW w:w="1383" w:type="dxa"/>
            <w:shd w:val="clear" w:color="auto" w:fill="FFD966" w:themeFill="accent4" w:themeFillTint="99"/>
          </w:tcPr>
          <w:p w14:paraId="50F6D6A3" w14:textId="77777777" w:rsidR="00BD1AC2" w:rsidRPr="0026017A" w:rsidRDefault="00BD1AC2" w:rsidP="00277B96">
            <w:pPr>
              <w:jc w:val="center"/>
              <w:rPr>
                <w:rFonts w:asciiTheme="majorHAnsi" w:hAnsiTheme="majorHAnsi" w:cstheme="majorHAnsi"/>
                <w:b/>
                <w:color w:val="auto"/>
                <w:szCs w:val="22"/>
                <w:lang w:val="fr-FR"/>
              </w:rPr>
            </w:pPr>
            <w:r w:rsidRPr="0026017A">
              <w:rPr>
                <w:rFonts w:asciiTheme="majorHAnsi" w:hAnsiTheme="majorHAnsi" w:cstheme="majorHAnsi"/>
                <w:b/>
                <w:color w:val="auto"/>
                <w:szCs w:val="22"/>
                <w:lang w:val="fr-FR"/>
              </w:rPr>
              <w:t>Plan de paiements</w:t>
            </w:r>
          </w:p>
        </w:tc>
      </w:tr>
      <w:tr w:rsidR="00BD1AC2" w:rsidRPr="0026017A" w14:paraId="4931119E" w14:textId="77777777" w:rsidTr="00277B96">
        <w:tc>
          <w:tcPr>
            <w:tcW w:w="3225" w:type="dxa"/>
            <w:shd w:val="clear" w:color="auto" w:fill="auto"/>
          </w:tcPr>
          <w:p w14:paraId="78CA31ED" w14:textId="77777777" w:rsidR="00BD1AC2" w:rsidRPr="0026017A" w:rsidRDefault="00BD1AC2" w:rsidP="00277B96">
            <w:pPr>
              <w:spacing w:after="160" w:line="259" w:lineRule="auto"/>
              <w:contextualSpacing/>
              <w:rPr>
                <w:rFonts w:asciiTheme="majorHAnsi" w:hAnsiTheme="majorHAnsi" w:cstheme="majorHAnsi"/>
                <w:color w:val="auto"/>
                <w:szCs w:val="22"/>
                <w:lang w:val="fr-FR"/>
              </w:rPr>
            </w:pPr>
            <w:r>
              <w:rPr>
                <w:rFonts w:asciiTheme="majorHAnsi" w:hAnsiTheme="majorHAnsi" w:cstheme="majorHAnsi"/>
                <w:color w:val="auto"/>
                <w:szCs w:val="22"/>
                <w:lang w:val="fr-FR"/>
              </w:rPr>
              <w:t>R</w:t>
            </w:r>
            <w:r w:rsidRPr="0026017A">
              <w:rPr>
                <w:rFonts w:asciiTheme="majorHAnsi" w:hAnsiTheme="majorHAnsi" w:cstheme="majorHAnsi"/>
                <w:color w:val="auto"/>
                <w:szCs w:val="22"/>
                <w:lang w:val="fr-FR"/>
              </w:rPr>
              <w:t xml:space="preserve">emise du rapport préliminaire de l’état des lieux de la mise en œuvre du PATB et des drafts de notes méthodologiques pour les travaux de groupe. </w:t>
            </w:r>
          </w:p>
        </w:tc>
        <w:tc>
          <w:tcPr>
            <w:tcW w:w="2890" w:type="dxa"/>
            <w:shd w:val="clear" w:color="auto" w:fill="auto"/>
          </w:tcPr>
          <w:p w14:paraId="7FEA4A8E" w14:textId="77777777" w:rsidR="00BD1AC2" w:rsidRPr="0026017A" w:rsidRDefault="00BD1AC2" w:rsidP="00277B96">
            <w:pPr>
              <w:jc w:val="center"/>
              <w:rPr>
                <w:rFonts w:asciiTheme="majorHAnsi" w:hAnsiTheme="majorHAnsi" w:cstheme="majorHAnsi"/>
                <w:color w:val="auto"/>
                <w:szCs w:val="22"/>
                <w:lang w:val="fr-FR"/>
              </w:rPr>
            </w:pPr>
            <w:r>
              <w:rPr>
                <w:rFonts w:asciiTheme="majorHAnsi" w:hAnsiTheme="majorHAnsi" w:cstheme="majorHAnsi"/>
                <w:color w:val="auto"/>
                <w:szCs w:val="22"/>
                <w:lang w:val="fr-FR"/>
              </w:rPr>
              <w:t>3</w:t>
            </w:r>
            <w:r w:rsidRPr="0026017A">
              <w:rPr>
                <w:rFonts w:asciiTheme="majorHAnsi" w:hAnsiTheme="majorHAnsi" w:cstheme="majorHAnsi"/>
                <w:color w:val="auto"/>
                <w:szCs w:val="22"/>
                <w:lang w:val="fr-FR"/>
              </w:rPr>
              <w:t xml:space="preserve"> semaines</w:t>
            </w:r>
          </w:p>
        </w:tc>
        <w:tc>
          <w:tcPr>
            <w:tcW w:w="2150" w:type="dxa"/>
            <w:shd w:val="clear" w:color="auto" w:fill="auto"/>
          </w:tcPr>
          <w:p w14:paraId="5A3B145C" w14:textId="77777777" w:rsidR="00BD1AC2" w:rsidRPr="0026017A" w:rsidRDefault="00BD1AC2" w:rsidP="00277B96">
            <w:pPr>
              <w:rPr>
                <w:rFonts w:asciiTheme="majorHAnsi" w:hAnsiTheme="majorHAnsi" w:cstheme="majorHAnsi"/>
                <w:color w:val="auto"/>
                <w:szCs w:val="22"/>
                <w:lang w:val="fr-FR"/>
              </w:rPr>
            </w:pPr>
            <w:r w:rsidRPr="0026017A">
              <w:rPr>
                <w:rFonts w:asciiTheme="majorHAnsi" w:hAnsiTheme="majorHAnsi" w:cstheme="majorHAnsi"/>
                <w:color w:val="auto"/>
                <w:szCs w:val="22"/>
                <w:lang w:val="fr-FR"/>
              </w:rPr>
              <w:t>Du</w:t>
            </w:r>
            <w:r>
              <w:rPr>
                <w:rFonts w:asciiTheme="majorHAnsi" w:hAnsiTheme="majorHAnsi" w:cstheme="majorHAnsi"/>
                <w:color w:val="auto"/>
                <w:szCs w:val="22"/>
                <w:lang w:val="fr-FR"/>
              </w:rPr>
              <w:t xml:space="preserve"> 26 f</w:t>
            </w:r>
            <w:r w:rsidRPr="0026017A">
              <w:rPr>
                <w:rFonts w:asciiTheme="majorHAnsi" w:hAnsiTheme="majorHAnsi" w:cstheme="majorHAnsi"/>
                <w:color w:val="auto"/>
                <w:szCs w:val="22"/>
                <w:lang w:val="fr-FR"/>
              </w:rPr>
              <w:t xml:space="preserve">évrier 2020 au 20 mars 2020 </w:t>
            </w:r>
          </w:p>
        </w:tc>
        <w:tc>
          <w:tcPr>
            <w:tcW w:w="1383" w:type="dxa"/>
          </w:tcPr>
          <w:p w14:paraId="2788E11E" w14:textId="77777777" w:rsidR="00BD1AC2" w:rsidRPr="0026017A" w:rsidRDefault="00BD1AC2" w:rsidP="00277B96">
            <w:pPr>
              <w:jc w:val="center"/>
              <w:rPr>
                <w:rFonts w:asciiTheme="majorHAnsi" w:hAnsiTheme="majorHAnsi" w:cstheme="majorHAnsi"/>
                <w:color w:val="auto"/>
                <w:szCs w:val="22"/>
                <w:lang w:val="fr-FR"/>
              </w:rPr>
            </w:pPr>
            <w:r w:rsidRPr="0026017A">
              <w:rPr>
                <w:rFonts w:asciiTheme="majorHAnsi" w:hAnsiTheme="majorHAnsi" w:cstheme="majorHAnsi"/>
                <w:color w:val="auto"/>
                <w:szCs w:val="22"/>
                <w:lang w:val="fr-FR"/>
              </w:rPr>
              <w:t>30%</w:t>
            </w:r>
          </w:p>
        </w:tc>
      </w:tr>
      <w:tr w:rsidR="00BD1AC2" w:rsidRPr="0026017A" w14:paraId="2A3F8785" w14:textId="77777777" w:rsidTr="00277B96">
        <w:tc>
          <w:tcPr>
            <w:tcW w:w="3225" w:type="dxa"/>
            <w:shd w:val="clear" w:color="auto" w:fill="auto"/>
          </w:tcPr>
          <w:p w14:paraId="7A7DAC71" w14:textId="77777777" w:rsidR="00BD1AC2" w:rsidRPr="0026017A" w:rsidRDefault="00BD1AC2" w:rsidP="00277B96">
            <w:pPr>
              <w:spacing w:after="160" w:line="259" w:lineRule="auto"/>
              <w:contextualSpacing/>
              <w:rPr>
                <w:rFonts w:asciiTheme="majorHAnsi" w:hAnsiTheme="majorHAnsi" w:cstheme="majorHAnsi"/>
                <w:color w:val="auto"/>
                <w:szCs w:val="22"/>
                <w:lang w:val="fr-FR"/>
              </w:rPr>
            </w:pPr>
            <w:r>
              <w:rPr>
                <w:rFonts w:asciiTheme="majorHAnsi" w:hAnsiTheme="majorHAnsi" w:cstheme="majorHAnsi"/>
                <w:color w:val="auto"/>
                <w:szCs w:val="22"/>
                <w:lang w:val="fr-FR"/>
              </w:rPr>
              <w:t>Organisation de l’atelier de revue sectorielle conjointe</w:t>
            </w:r>
          </w:p>
        </w:tc>
        <w:tc>
          <w:tcPr>
            <w:tcW w:w="2890" w:type="dxa"/>
            <w:shd w:val="clear" w:color="auto" w:fill="auto"/>
          </w:tcPr>
          <w:p w14:paraId="424D6748" w14:textId="69B0072D" w:rsidR="00BD1AC2" w:rsidRDefault="00466751" w:rsidP="00277B96">
            <w:pPr>
              <w:jc w:val="center"/>
              <w:rPr>
                <w:rFonts w:asciiTheme="majorHAnsi" w:hAnsiTheme="majorHAnsi" w:cstheme="majorHAnsi"/>
                <w:color w:val="auto"/>
                <w:szCs w:val="22"/>
                <w:lang w:val="fr-FR"/>
              </w:rPr>
            </w:pPr>
            <w:r>
              <w:rPr>
                <w:rFonts w:asciiTheme="majorHAnsi" w:hAnsiTheme="majorHAnsi" w:cstheme="majorHAnsi"/>
                <w:color w:val="auto"/>
                <w:szCs w:val="22"/>
                <w:lang w:val="fr-FR"/>
              </w:rPr>
              <w:t>1 semaine</w:t>
            </w:r>
          </w:p>
        </w:tc>
        <w:tc>
          <w:tcPr>
            <w:tcW w:w="2150" w:type="dxa"/>
            <w:shd w:val="clear" w:color="auto" w:fill="auto"/>
          </w:tcPr>
          <w:p w14:paraId="2E80154A" w14:textId="77777777" w:rsidR="00BD1AC2" w:rsidRPr="0026017A" w:rsidRDefault="00BD1AC2" w:rsidP="00277B96">
            <w:pPr>
              <w:rPr>
                <w:rFonts w:asciiTheme="majorHAnsi" w:hAnsiTheme="majorHAnsi" w:cstheme="majorHAnsi"/>
                <w:color w:val="auto"/>
                <w:szCs w:val="22"/>
                <w:lang w:val="fr-FR"/>
              </w:rPr>
            </w:pPr>
            <w:r>
              <w:rPr>
                <w:rFonts w:asciiTheme="majorHAnsi" w:hAnsiTheme="majorHAnsi" w:cstheme="majorHAnsi"/>
                <w:color w:val="auto"/>
                <w:szCs w:val="22"/>
                <w:lang w:val="fr-FR"/>
              </w:rPr>
              <w:t>30 mars au 1 avril 2020</w:t>
            </w:r>
          </w:p>
        </w:tc>
        <w:tc>
          <w:tcPr>
            <w:tcW w:w="1383" w:type="dxa"/>
            <w:vMerge w:val="restart"/>
          </w:tcPr>
          <w:p w14:paraId="02BD9373" w14:textId="77777777" w:rsidR="00BD1AC2" w:rsidRDefault="00BD1AC2" w:rsidP="00277B96">
            <w:pPr>
              <w:jc w:val="center"/>
              <w:rPr>
                <w:rFonts w:asciiTheme="majorHAnsi" w:hAnsiTheme="majorHAnsi" w:cstheme="majorHAnsi"/>
                <w:color w:val="auto"/>
                <w:szCs w:val="22"/>
                <w:lang w:val="fr-FR"/>
              </w:rPr>
            </w:pPr>
          </w:p>
          <w:p w14:paraId="3DCE54E8" w14:textId="77777777" w:rsidR="00BD1AC2" w:rsidRDefault="00BD1AC2" w:rsidP="00277B96">
            <w:pPr>
              <w:jc w:val="center"/>
              <w:rPr>
                <w:rFonts w:asciiTheme="majorHAnsi" w:hAnsiTheme="majorHAnsi" w:cstheme="majorHAnsi"/>
                <w:color w:val="auto"/>
                <w:szCs w:val="22"/>
                <w:lang w:val="fr-FR"/>
              </w:rPr>
            </w:pPr>
          </w:p>
          <w:p w14:paraId="2F9C0F9E" w14:textId="77777777" w:rsidR="00BD1AC2" w:rsidRDefault="00BD1AC2" w:rsidP="00277B96">
            <w:pPr>
              <w:jc w:val="center"/>
              <w:rPr>
                <w:rFonts w:asciiTheme="majorHAnsi" w:hAnsiTheme="majorHAnsi" w:cstheme="majorHAnsi"/>
                <w:color w:val="auto"/>
                <w:szCs w:val="22"/>
                <w:lang w:val="fr-FR"/>
              </w:rPr>
            </w:pPr>
          </w:p>
          <w:p w14:paraId="110FE7E2" w14:textId="77777777" w:rsidR="00BD1AC2" w:rsidRPr="0026017A" w:rsidRDefault="00BD1AC2" w:rsidP="00277B96">
            <w:pPr>
              <w:jc w:val="center"/>
              <w:rPr>
                <w:rFonts w:asciiTheme="majorHAnsi" w:hAnsiTheme="majorHAnsi" w:cstheme="majorHAnsi"/>
                <w:color w:val="auto"/>
                <w:szCs w:val="22"/>
                <w:lang w:val="fr-FR"/>
              </w:rPr>
            </w:pPr>
            <w:r w:rsidRPr="0026017A">
              <w:rPr>
                <w:rFonts w:asciiTheme="majorHAnsi" w:hAnsiTheme="majorHAnsi" w:cstheme="majorHAnsi"/>
                <w:color w:val="auto"/>
                <w:szCs w:val="22"/>
                <w:lang w:val="fr-FR"/>
              </w:rPr>
              <w:t>40%</w:t>
            </w:r>
          </w:p>
        </w:tc>
      </w:tr>
      <w:tr w:rsidR="00BD1AC2" w:rsidRPr="0026017A" w14:paraId="2489225D" w14:textId="77777777" w:rsidTr="00277B96">
        <w:tc>
          <w:tcPr>
            <w:tcW w:w="3225" w:type="dxa"/>
            <w:shd w:val="clear" w:color="auto" w:fill="auto"/>
          </w:tcPr>
          <w:p w14:paraId="623EB88E" w14:textId="77777777" w:rsidR="00BD1AC2" w:rsidRPr="0026017A" w:rsidRDefault="00BD1AC2" w:rsidP="00277B96">
            <w:pPr>
              <w:rPr>
                <w:rFonts w:asciiTheme="majorHAnsi" w:hAnsiTheme="majorHAnsi" w:cstheme="majorHAnsi"/>
                <w:color w:val="auto"/>
                <w:szCs w:val="22"/>
                <w:lang w:val="fr-FR"/>
              </w:rPr>
            </w:pPr>
            <w:r>
              <w:rPr>
                <w:rFonts w:asciiTheme="majorHAnsi" w:hAnsiTheme="majorHAnsi" w:cstheme="majorHAnsi"/>
                <w:color w:val="auto"/>
                <w:szCs w:val="22"/>
                <w:lang w:val="fr-FR"/>
              </w:rPr>
              <w:t>R</w:t>
            </w:r>
            <w:r w:rsidRPr="0026017A">
              <w:rPr>
                <w:rFonts w:asciiTheme="majorHAnsi" w:hAnsiTheme="majorHAnsi" w:cstheme="majorHAnsi"/>
                <w:color w:val="auto"/>
                <w:szCs w:val="22"/>
                <w:lang w:val="fr-FR"/>
              </w:rPr>
              <w:t xml:space="preserve">emise de la version finale du rapport d’exécution du </w:t>
            </w:r>
            <w:r>
              <w:rPr>
                <w:rFonts w:asciiTheme="majorHAnsi" w:hAnsiTheme="majorHAnsi" w:cstheme="majorHAnsi"/>
                <w:color w:val="auto"/>
                <w:szCs w:val="22"/>
                <w:lang w:val="fr-FR"/>
              </w:rPr>
              <w:t>PSDEF/PTE/</w:t>
            </w:r>
            <w:r w:rsidRPr="0026017A">
              <w:rPr>
                <w:rFonts w:asciiTheme="majorHAnsi" w:hAnsiTheme="majorHAnsi" w:cstheme="majorHAnsi"/>
                <w:color w:val="auto"/>
                <w:szCs w:val="22"/>
                <w:lang w:val="fr-FR"/>
              </w:rPr>
              <w:t>PATB et du projet de PA 2020.</w:t>
            </w:r>
          </w:p>
        </w:tc>
        <w:tc>
          <w:tcPr>
            <w:tcW w:w="2890" w:type="dxa"/>
            <w:shd w:val="clear" w:color="auto" w:fill="auto"/>
          </w:tcPr>
          <w:p w14:paraId="1B3B051E" w14:textId="77777777" w:rsidR="00BD1AC2" w:rsidRPr="0026017A" w:rsidRDefault="00BD1AC2" w:rsidP="00277B96">
            <w:pPr>
              <w:jc w:val="center"/>
              <w:rPr>
                <w:rFonts w:asciiTheme="majorHAnsi" w:hAnsiTheme="majorHAnsi" w:cstheme="majorHAnsi"/>
                <w:color w:val="auto"/>
                <w:szCs w:val="22"/>
                <w:lang w:val="fr-FR"/>
              </w:rPr>
            </w:pPr>
            <w:r w:rsidRPr="0026017A">
              <w:rPr>
                <w:rFonts w:asciiTheme="majorHAnsi" w:hAnsiTheme="majorHAnsi" w:cstheme="majorHAnsi"/>
                <w:color w:val="auto"/>
                <w:szCs w:val="22"/>
                <w:lang w:val="fr-FR"/>
              </w:rPr>
              <w:t>1 semaine</w:t>
            </w:r>
          </w:p>
        </w:tc>
        <w:tc>
          <w:tcPr>
            <w:tcW w:w="2150" w:type="dxa"/>
            <w:shd w:val="clear" w:color="auto" w:fill="auto"/>
          </w:tcPr>
          <w:p w14:paraId="42400818" w14:textId="77777777" w:rsidR="00BD1AC2" w:rsidRPr="0026017A" w:rsidRDefault="00BD1AC2" w:rsidP="00277B96">
            <w:pPr>
              <w:rPr>
                <w:rFonts w:asciiTheme="majorHAnsi" w:hAnsiTheme="majorHAnsi" w:cstheme="majorHAnsi"/>
                <w:color w:val="auto"/>
                <w:szCs w:val="22"/>
                <w:lang w:val="fr-FR"/>
              </w:rPr>
            </w:pPr>
            <w:r>
              <w:rPr>
                <w:rFonts w:asciiTheme="majorHAnsi" w:hAnsiTheme="majorHAnsi" w:cstheme="majorHAnsi"/>
                <w:color w:val="auto"/>
                <w:szCs w:val="22"/>
                <w:lang w:val="fr-FR"/>
              </w:rPr>
              <w:t>9 avril</w:t>
            </w:r>
            <w:r w:rsidRPr="0026017A">
              <w:rPr>
                <w:rFonts w:asciiTheme="majorHAnsi" w:hAnsiTheme="majorHAnsi" w:cstheme="majorHAnsi"/>
                <w:color w:val="auto"/>
                <w:szCs w:val="22"/>
                <w:lang w:val="fr-FR"/>
              </w:rPr>
              <w:t xml:space="preserve"> 2020</w:t>
            </w:r>
          </w:p>
        </w:tc>
        <w:tc>
          <w:tcPr>
            <w:tcW w:w="1383" w:type="dxa"/>
            <w:vMerge/>
          </w:tcPr>
          <w:p w14:paraId="2D836367" w14:textId="77777777" w:rsidR="00BD1AC2" w:rsidRPr="0026017A" w:rsidRDefault="00BD1AC2" w:rsidP="00277B96">
            <w:pPr>
              <w:jc w:val="center"/>
              <w:rPr>
                <w:rFonts w:asciiTheme="majorHAnsi" w:hAnsiTheme="majorHAnsi" w:cstheme="majorHAnsi"/>
                <w:color w:val="auto"/>
                <w:szCs w:val="22"/>
                <w:lang w:val="fr-FR"/>
              </w:rPr>
            </w:pPr>
          </w:p>
        </w:tc>
      </w:tr>
      <w:tr w:rsidR="00BD1AC2" w:rsidRPr="0026017A" w14:paraId="1316A270" w14:textId="77777777" w:rsidTr="00277B96">
        <w:tc>
          <w:tcPr>
            <w:tcW w:w="3225" w:type="dxa"/>
            <w:shd w:val="clear" w:color="auto" w:fill="auto"/>
          </w:tcPr>
          <w:p w14:paraId="3BF80940" w14:textId="77777777" w:rsidR="00BD1AC2" w:rsidRPr="0026017A" w:rsidRDefault="00BD1AC2" w:rsidP="00277B96">
            <w:pPr>
              <w:rPr>
                <w:rFonts w:asciiTheme="majorHAnsi" w:hAnsiTheme="majorHAnsi" w:cstheme="majorHAnsi"/>
                <w:color w:val="auto"/>
                <w:szCs w:val="22"/>
                <w:lang w:val="fr-FR"/>
              </w:rPr>
            </w:pPr>
            <w:r w:rsidRPr="0026017A">
              <w:rPr>
                <w:rFonts w:asciiTheme="majorHAnsi" w:hAnsiTheme="majorHAnsi" w:cstheme="majorHAnsi"/>
                <w:color w:val="auto"/>
                <w:szCs w:val="22"/>
                <w:lang w:val="fr-FR"/>
              </w:rPr>
              <w:t xml:space="preserve">Rapport final de la consultance accompagné des présentations, </w:t>
            </w:r>
            <w:r>
              <w:rPr>
                <w:rFonts w:asciiTheme="majorHAnsi" w:hAnsiTheme="majorHAnsi" w:cstheme="majorHAnsi"/>
                <w:color w:val="auto"/>
                <w:szCs w:val="22"/>
                <w:lang w:val="fr-FR"/>
              </w:rPr>
              <w:t xml:space="preserve">notes d’orientation pour faciliter les échanges lors de la revue conjointe, </w:t>
            </w:r>
            <w:r w:rsidRPr="0026017A">
              <w:rPr>
                <w:rFonts w:asciiTheme="majorHAnsi" w:hAnsiTheme="majorHAnsi" w:cstheme="majorHAnsi"/>
                <w:color w:val="auto"/>
                <w:szCs w:val="22"/>
                <w:lang w:val="fr-FR"/>
              </w:rPr>
              <w:t>de l’aide-mémoire et du Plan d’action 2020</w:t>
            </w:r>
          </w:p>
        </w:tc>
        <w:tc>
          <w:tcPr>
            <w:tcW w:w="2890" w:type="dxa"/>
            <w:shd w:val="clear" w:color="auto" w:fill="auto"/>
          </w:tcPr>
          <w:p w14:paraId="3587B052" w14:textId="77777777" w:rsidR="00BD1AC2" w:rsidRPr="0026017A" w:rsidRDefault="00BD1AC2" w:rsidP="00277B96">
            <w:pPr>
              <w:jc w:val="center"/>
              <w:rPr>
                <w:rFonts w:asciiTheme="majorHAnsi" w:hAnsiTheme="majorHAnsi" w:cstheme="majorHAnsi"/>
                <w:color w:val="auto"/>
                <w:szCs w:val="22"/>
                <w:lang w:val="fr-FR"/>
              </w:rPr>
            </w:pPr>
            <w:r>
              <w:rPr>
                <w:rFonts w:asciiTheme="majorHAnsi" w:hAnsiTheme="majorHAnsi" w:cstheme="majorHAnsi"/>
                <w:color w:val="auto"/>
                <w:szCs w:val="22"/>
                <w:lang w:val="fr-FR"/>
              </w:rPr>
              <w:t>1</w:t>
            </w:r>
            <w:r w:rsidRPr="0026017A">
              <w:rPr>
                <w:rFonts w:asciiTheme="majorHAnsi" w:hAnsiTheme="majorHAnsi" w:cstheme="majorHAnsi"/>
                <w:color w:val="auto"/>
                <w:szCs w:val="22"/>
                <w:lang w:val="fr-FR"/>
              </w:rPr>
              <w:t xml:space="preserve"> semaine</w:t>
            </w:r>
          </w:p>
        </w:tc>
        <w:tc>
          <w:tcPr>
            <w:tcW w:w="2150" w:type="dxa"/>
            <w:shd w:val="clear" w:color="auto" w:fill="auto"/>
          </w:tcPr>
          <w:p w14:paraId="31840BFD" w14:textId="77777777" w:rsidR="00BD1AC2" w:rsidRPr="0026017A" w:rsidRDefault="00BD1AC2" w:rsidP="00277B96">
            <w:pPr>
              <w:rPr>
                <w:rFonts w:asciiTheme="majorHAnsi" w:hAnsiTheme="majorHAnsi" w:cstheme="majorHAnsi"/>
                <w:color w:val="auto"/>
                <w:szCs w:val="22"/>
                <w:lang w:val="fr-FR"/>
              </w:rPr>
            </w:pPr>
            <w:r w:rsidRPr="0026017A">
              <w:rPr>
                <w:rFonts w:asciiTheme="majorHAnsi" w:hAnsiTheme="majorHAnsi" w:cstheme="majorHAnsi"/>
                <w:color w:val="auto"/>
                <w:szCs w:val="22"/>
                <w:lang w:val="fr-FR"/>
              </w:rPr>
              <w:t>1</w:t>
            </w:r>
            <w:r>
              <w:rPr>
                <w:rFonts w:asciiTheme="majorHAnsi" w:hAnsiTheme="majorHAnsi" w:cstheme="majorHAnsi"/>
                <w:color w:val="auto"/>
                <w:szCs w:val="22"/>
                <w:lang w:val="fr-FR"/>
              </w:rPr>
              <w:t>5 avril 2020</w:t>
            </w:r>
          </w:p>
        </w:tc>
        <w:tc>
          <w:tcPr>
            <w:tcW w:w="1383" w:type="dxa"/>
          </w:tcPr>
          <w:p w14:paraId="31CCA65A" w14:textId="77777777" w:rsidR="00BD1AC2" w:rsidRPr="0026017A" w:rsidRDefault="00BD1AC2" w:rsidP="00277B96">
            <w:pPr>
              <w:jc w:val="center"/>
              <w:rPr>
                <w:rFonts w:asciiTheme="majorHAnsi" w:hAnsiTheme="majorHAnsi" w:cstheme="majorHAnsi"/>
                <w:color w:val="auto"/>
                <w:szCs w:val="22"/>
                <w:lang w:val="fr-FR"/>
              </w:rPr>
            </w:pPr>
            <w:r w:rsidRPr="0026017A">
              <w:rPr>
                <w:rFonts w:asciiTheme="majorHAnsi" w:hAnsiTheme="majorHAnsi" w:cstheme="majorHAnsi"/>
                <w:color w:val="auto"/>
                <w:szCs w:val="22"/>
                <w:lang w:val="fr-FR"/>
              </w:rPr>
              <w:t>30%</w:t>
            </w:r>
          </w:p>
        </w:tc>
      </w:tr>
    </w:tbl>
    <w:p w14:paraId="6662710F" w14:textId="77777777" w:rsidR="00BD1AC2" w:rsidRPr="0026017A" w:rsidRDefault="00BD1AC2" w:rsidP="00BD1AC2">
      <w:pPr>
        <w:pStyle w:val="Header"/>
        <w:tabs>
          <w:tab w:val="clear" w:pos="4320"/>
          <w:tab w:val="clear" w:pos="8640"/>
        </w:tabs>
        <w:outlineLvl w:val="0"/>
        <w:rPr>
          <w:rFonts w:asciiTheme="majorHAnsi" w:hAnsiTheme="majorHAnsi" w:cstheme="majorHAnsi"/>
          <w:b/>
          <w:color w:val="auto"/>
          <w:szCs w:val="22"/>
          <w:lang w:val="fr-FR"/>
        </w:rPr>
      </w:pPr>
    </w:p>
    <w:p w14:paraId="36BDECA4" w14:textId="77777777" w:rsidR="007E27A7" w:rsidRPr="00443C6F" w:rsidRDefault="007E27A7" w:rsidP="00210C25">
      <w:pPr>
        <w:pStyle w:val="Header"/>
        <w:tabs>
          <w:tab w:val="clear" w:pos="4320"/>
          <w:tab w:val="clear" w:pos="8640"/>
        </w:tabs>
        <w:outlineLvl w:val="0"/>
        <w:rPr>
          <w:rFonts w:asciiTheme="majorHAnsi" w:hAnsiTheme="majorHAnsi" w:cstheme="majorHAnsi"/>
          <w:b/>
          <w:szCs w:val="22"/>
          <w:lang w:val="en-GB"/>
        </w:rPr>
      </w:pPr>
    </w:p>
    <w:p w14:paraId="6A42E67C" w14:textId="323CEB01" w:rsidR="00053311" w:rsidRPr="00443C6F" w:rsidRDefault="00CE5FE2" w:rsidP="00053311">
      <w:pPr>
        <w:shd w:val="clear" w:color="auto" w:fill="D9D9D9"/>
        <w:rPr>
          <w:rFonts w:asciiTheme="majorHAnsi" w:hAnsiTheme="majorHAnsi" w:cstheme="majorHAnsi"/>
          <w:b/>
          <w:szCs w:val="22"/>
          <w:lang w:val="fr-FR"/>
        </w:rPr>
      </w:pPr>
      <w:r>
        <w:rPr>
          <w:rFonts w:asciiTheme="majorHAnsi" w:hAnsiTheme="majorHAnsi" w:cstheme="majorHAnsi"/>
          <w:b/>
          <w:szCs w:val="22"/>
          <w:lang w:val="fr-FR"/>
        </w:rPr>
        <w:t>Echéance des p</w:t>
      </w:r>
      <w:r w:rsidR="00053311" w:rsidRPr="00443C6F">
        <w:rPr>
          <w:rFonts w:asciiTheme="majorHAnsi" w:hAnsiTheme="majorHAnsi" w:cstheme="majorHAnsi"/>
          <w:b/>
          <w:szCs w:val="22"/>
          <w:lang w:val="fr-FR"/>
        </w:rPr>
        <w:t>a</w:t>
      </w:r>
      <w:r>
        <w:rPr>
          <w:rFonts w:asciiTheme="majorHAnsi" w:hAnsiTheme="majorHAnsi" w:cstheme="majorHAnsi"/>
          <w:b/>
          <w:szCs w:val="22"/>
          <w:lang w:val="fr-FR"/>
        </w:rPr>
        <w:t>ie</w:t>
      </w:r>
      <w:r w:rsidR="00053311" w:rsidRPr="00443C6F">
        <w:rPr>
          <w:rFonts w:asciiTheme="majorHAnsi" w:hAnsiTheme="majorHAnsi" w:cstheme="majorHAnsi"/>
          <w:b/>
          <w:szCs w:val="22"/>
          <w:lang w:val="fr-FR"/>
        </w:rPr>
        <w:t>ment</w:t>
      </w:r>
      <w:r>
        <w:rPr>
          <w:rFonts w:asciiTheme="majorHAnsi" w:hAnsiTheme="majorHAnsi" w:cstheme="majorHAnsi"/>
          <w:b/>
          <w:szCs w:val="22"/>
          <w:lang w:val="fr-FR"/>
        </w:rPr>
        <w:t>s</w:t>
      </w:r>
    </w:p>
    <w:p w14:paraId="1952AB68" w14:textId="77777777" w:rsidR="00CE5FE2" w:rsidRDefault="00CE5FE2" w:rsidP="00930107">
      <w:pPr>
        <w:jc w:val="both"/>
        <w:rPr>
          <w:rFonts w:asciiTheme="majorHAnsi" w:hAnsiTheme="majorHAnsi" w:cstheme="majorHAnsi"/>
          <w:szCs w:val="22"/>
        </w:rPr>
      </w:pPr>
    </w:p>
    <w:p w14:paraId="0F10E9DC" w14:textId="77777777" w:rsidR="00BD1AC2" w:rsidRPr="0026017A" w:rsidRDefault="00BD1AC2" w:rsidP="00BD1AC2">
      <w:pPr>
        <w:jc w:val="both"/>
        <w:rPr>
          <w:rFonts w:asciiTheme="majorHAnsi" w:hAnsiTheme="majorHAnsi" w:cstheme="majorHAnsi"/>
          <w:color w:val="auto"/>
          <w:szCs w:val="22"/>
          <w:lang w:val="fr-FR"/>
        </w:rPr>
      </w:pPr>
      <w:r w:rsidRPr="0026017A">
        <w:rPr>
          <w:rFonts w:asciiTheme="majorHAnsi" w:hAnsiTheme="majorHAnsi" w:cstheme="majorHAnsi"/>
          <w:color w:val="auto"/>
          <w:szCs w:val="22"/>
          <w:lang w:val="fr-FR"/>
        </w:rPr>
        <w:t>Le paiement se fera en trois tranches :</w:t>
      </w:r>
    </w:p>
    <w:p w14:paraId="16E86515" w14:textId="77777777" w:rsidR="00BD1AC2" w:rsidRPr="0026017A" w:rsidRDefault="00BD1AC2" w:rsidP="00BD1AC2">
      <w:pPr>
        <w:jc w:val="both"/>
        <w:rPr>
          <w:rFonts w:asciiTheme="majorHAnsi" w:hAnsiTheme="majorHAnsi" w:cstheme="majorHAnsi"/>
          <w:color w:val="auto"/>
          <w:szCs w:val="22"/>
          <w:lang w:val="fr-FR"/>
        </w:rPr>
      </w:pPr>
    </w:p>
    <w:p w14:paraId="6C7A8708" w14:textId="77777777" w:rsidR="00BD1AC2" w:rsidRPr="0026017A" w:rsidRDefault="00BD1AC2" w:rsidP="00BD1AC2">
      <w:pPr>
        <w:jc w:val="both"/>
        <w:rPr>
          <w:rFonts w:asciiTheme="majorHAnsi" w:hAnsiTheme="majorHAnsi" w:cstheme="majorHAnsi"/>
          <w:color w:val="auto"/>
          <w:szCs w:val="22"/>
          <w:lang w:val="fr-FR"/>
        </w:rPr>
      </w:pPr>
      <w:r w:rsidRPr="0026017A">
        <w:rPr>
          <w:rFonts w:asciiTheme="majorHAnsi" w:hAnsiTheme="majorHAnsi" w:cstheme="majorHAnsi"/>
          <w:color w:val="auto"/>
          <w:szCs w:val="22"/>
          <w:lang w:val="fr-FR"/>
        </w:rPr>
        <w:t>- 1er paiement au dépôt du rapport sur l’état des lieux de la mise en œuvre du PATB</w:t>
      </w:r>
      <w:r>
        <w:rPr>
          <w:rFonts w:asciiTheme="majorHAnsi" w:hAnsiTheme="majorHAnsi" w:cstheme="majorHAnsi"/>
          <w:color w:val="auto"/>
          <w:szCs w:val="22"/>
          <w:lang w:val="fr-FR"/>
        </w:rPr>
        <w:t xml:space="preserve"> et des orientations pour les travaux de groupe lors de la revue</w:t>
      </w:r>
      <w:r w:rsidRPr="0026017A">
        <w:rPr>
          <w:rFonts w:asciiTheme="majorHAnsi" w:hAnsiTheme="majorHAnsi" w:cstheme="majorHAnsi"/>
          <w:color w:val="auto"/>
          <w:szCs w:val="22"/>
          <w:lang w:val="fr-FR"/>
        </w:rPr>
        <w:t> ;</w:t>
      </w:r>
    </w:p>
    <w:p w14:paraId="339B24C9" w14:textId="77777777" w:rsidR="00BD1AC2" w:rsidRPr="0026017A" w:rsidRDefault="00BD1AC2" w:rsidP="00BD1AC2">
      <w:pPr>
        <w:jc w:val="both"/>
        <w:rPr>
          <w:rFonts w:asciiTheme="majorHAnsi" w:hAnsiTheme="majorHAnsi" w:cstheme="majorHAnsi"/>
          <w:color w:val="auto"/>
          <w:szCs w:val="22"/>
          <w:lang w:val="fr-FR"/>
        </w:rPr>
      </w:pPr>
      <w:r w:rsidRPr="0026017A">
        <w:rPr>
          <w:rFonts w:asciiTheme="majorHAnsi" w:hAnsiTheme="majorHAnsi" w:cstheme="majorHAnsi"/>
          <w:color w:val="auto"/>
          <w:szCs w:val="22"/>
          <w:lang w:val="fr-FR"/>
        </w:rPr>
        <w:t>- 2eme paiement à la production d</w:t>
      </w:r>
      <w:r>
        <w:rPr>
          <w:rFonts w:asciiTheme="majorHAnsi" w:hAnsiTheme="majorHAnsi" w:cstheme="majorHAnsi"/>
          <w:color w:val="auto"/>
          <w:szCs w:val="22"/>
          <w:lang w:val="fr-FR"/>
        </w:rPr>
        <w:t xml:space="preserve">u rapport d’exécution du PATB </w:t>
      </w:r>
      <w:r w:rsidRPr="0026017A">
        <w:rPr>
          <w:rFonts w:asciiTheme="majorHAnsi" w:hAnsiTheme="majorHAnsi" w:cstheme="majorHAnsi"/>
          <w:color w:val="auto"/>
          <w:szCs w:val="22"/>
          <w:lang w:val="fr-FR"/>
        </w:rPr>
        <w:t>;</w:t>
      </w:r>
    </w:p>
    <w:p w14:paraId="61DEF5A1" w14:textId="77777777" w:rsidR="00BD1AC2" w:rsidRPr="0026017A" w:rsidRDefault="00BD1AC2" w:rsidP="00BD1AC2">
      <w:pPr>
        <w:jc w:val="both"/>
        <w:rPr>
          <w:rFonts w:asciiTheme="majorHAnsi" w:hAnsiTheme="majorHAnsi" w:cstheme="majorHAnsi"/>
          <w:color w:val="auto"/>
          <w:szCs w:val="22"/>
          <w:lang w:val="fr-FR"/>
        </w:rPr>
      </w:pPr>
      <w:r w:rsidRPr="0026017A">
        <w:rPr>
          <w:rFonts w:asciiTheme="majorHAnsi" w:hAnsiTheme="majorHAnsi" w:cstheme="majorHAnsi"/>
          <w:color w:val="auto"/>
          <w:szCs w:val="22"/>
          <w:lang w:val="fr-FR"/>
        </w:rPr>
        <w:t xml:space="preserve">- 3eme paiement à la validation du rapport de consultance accompagné de l’aide-mémoire et de la compilation des présentations. </w:t>
      </w:r>
    </w:p>
    <w:p w14:paraId="41820DAF" w14:textId="77777777" w:rsidR="00BD1AC2" w:rsidRPr="0026017A" w:rsidRDefault="00BD1AC2" w:rsidP="00BD1AC2">
      <w:pPr>
        <w:jc w:val="both"/>
        <w:rPr>
          <w:rFonts w:asciiTheme="majorHAnsi" w:hAnsiTheme="majorHAnsi" w:cstheme="majorHAnsi"/>
          <w:color w:val="auto"/>
          <w:szCs w:val="22"/>
          <w:lang w:val="fr-FR"/>
        </w:rPr>
      </w:pPr>
    </w:p>
    <w:p w14:paraId="3553D781" w14:textId="77777777" w:rsidR="00BD1AC2" w:rsidRPr="0026017A" w:rsidRDefault="00BD1AC2" w:rsidP="00BD1AC2">
      <w:pPr>
        <w:rPr>
          <w:color w:val="auto"/>
          <w:lang w:val="fr-FR"/>
        </w:rPr>
      </w:pPr>
      <w:r w:rsidRPr="0026017A">
        <w:rPr>
          <w:rFonts w:asciiTheme="majorHAnsi" w:hAnsiTheme="majorHAnsi" w:cstheme="majorHAnsi"/>
          <w:color w:val="auto"/>
          <w:szCs w:val="22"/>
          <w:lang w:val="fr-FR"/>
        </w:rPr>
        <w:t>L’UNICEF se réserve le droit de ne pas payer le consultant si les activités menées et les résultats attendus ne sont pas de niveau satisfaisant.</w:t>
      </w:r>
      <w:r w:rsidRPr="0026017A" w:rsidDel="002532EB">
        <w:rPr>
          <w:rFonts w:asciiTheme="majorHAnsi" w:hAnsiTheme="majorHAnsi" w:cstheme="majorHAnsi"/>
          <w:color w:val="auto"/>
          <w:szCs w:val="22"/>
          <w:lang w:val="fr-FR"/>
        </w:rPr>
        <w:t xml:space="preserve"> </w:t>
      </w:r>
    </w:p>
    <w:p w14:paraId="6C7F3D09" w14:textId="77777777" w:rsidR="00BD1AC2" w:rsidRPr="0026017A" w:rsidRDefault="00BD1AC2" w:rsidP="00BD1AC2">
      <w:pPr>
        <w:jc w:val="both"/>
        <w:rPr>
          <w:color w:val="auto"/>
          <w:lang w:val="fr-FR"/>
        </w:rPr>
      </w:pPr>
    </w:p>
    <w:p w14:paraId="0AC99F61" w14:textId="77777777" w:rsidR="00684AE6" w:rsidRPr="00443C6F" w:rsidRDefault="00684AE6" w:rsidP="00636B9A">
      <w:pPr>
        <w:pStyle w:val="Header"/>
        <w:tabs>
          <w:tab w:val="clear" w:pos="4320"/>
          <w:tab w:val="clear" w:pos="8640"/>
        </w:tabs>
        <w:outlineLvl w:val="0"/>
        <w:rPr>
          <w:rFonts w:asciiTheme="majorHAnsi" w:hAnsiTheme="majorHAnsi" w:cstheme="majorHAnsi"/>
          <w:b/>
          <w:szCs w:val="22"/>
          <w:lang w:val="fr-FR"/>
        </w:rPr>
      </w:pPr>
    </w:p>
    <w:p w14:paraId="73BCB49B" w14:textId="5DF5912D" w:rsidR="00636B9A" w:rsidRPr="00443C6F" w:rsidRDefault="00F64892" w:rsidP="00636B9A">
      <w:pPr>
        <w:shd w:val="clear" w:color="auto" w:fill="D9D9D9"/>
        <w:rPr>
          <w:rFonts w:asciiTheme="majorHAnsi" w:hAnsiTheme="majorHAnsi" w:cstheme="majorHAnsi"/>
          <w:b/>
          <w:szCs w:val="22"/>
          <w:lang w:val="en-GB"/>
        </w:rPr>
      </w:pPr>
      <w:r>
        <w:rPr>
          <w:rFonts w:asciiTheme="majorHAnsi" w:hAnsiTheme="majorHAnsi" w:cstheme="majorHAnsi"/>
          <w:b/>
          <w:szCs w:val="22"/>
          <w:lang w:val="en-GB"/>
        </w:rPr>
        <w:t xml:space="preserve">Qualifications </w:t>
      </w:r>
      <w:r w:rsidRPr="00F64892">
        <w:rPr>
          <w:rFonts w:asciiTheme="majorHAnsi" w:hAnsiTheme="majorHAnsi" w:cstheme="majorHAnsi"/>
          <w:b/>
          <w:szCs w:val="22"/>
          <w:lang w:val="fr-FR"/>
        </w:rPr>
        <w:t>professionnelles</w:t>
      </w:r>
      <w:r>
        <w:rPr>
          <w:rFonts w:asciiTheme="majorHAnsi" w:hAnsiTheme="majorHAnsi" w:cstheme="majorHAnsi"/>
          <w:b/>
          <w:szCs w:val="22"/>
          <w:lang w:val="en-GB"/>
        </w:rPr>
        <w:t xml:space="preserve"> et </w:t>
      </w:r>
      <w:r w:rsidRPr="00F64892">
        <w:rPr>
          <w:rFonts w:asciiTheme="majorHAnsi" w:hAnsiTheme="majorHAnsi" w:cstheme="majorHAnsi"/>
          <w:b/>
          <w:szCs w:val="22"/>
          <w:lang w:val="fr-FR"/>
        </w:rPr>
        <w:t>expérience</w:t>
      </w:r>
      <w:r w:rsidR="00636B9A" w:rsidRPr="00443C6F">
        <w:rPr>
          <w:rFonts w:asciiTheme="majorHAnsi" w:hAnsiTheme="majorHAnsi" w:cstheme="majorHAnsi"/>
          <w:b/>
          <w:szCs w:val="22"/>
          <w:lang w:val="en-GB"/>
        </w:rPr>
        <w:t xml:space="preserve"> </w:t>
      </w:r>
    </w:p>
    <w:p w14:paraId="0560BD1E" w14:textId="391392BA" w:rsidR="00F64892" w:rsidRPr="00D16310" w:rsidRDefault="00F64892" w:rsidP="00F64892">
      <w:pPr>
        <w:pStyle w:val="ListParagraph"/>
        <w:numPr>
          <w:ilvl w:val="0"/>
          <w:numId w:val="19"/>
        </w:numPr>
        <w:spacing w:after="160" w:line="259" w:lineRule="auto"/>
        <w:contextualSpacing/>
        <w:jc w:val="both"/>
        <w:rPr>
          <w:rFonts w:asciiTheme="majorHAnsi" w:hAnsiTheme="majorHAnsi" w:cstheme="majorHAnsi"/>
          <w:sz w:val="22"/>
          <w:szCs w:val="22"/>
        </w:rPr>
      </w:pPr>
      <w:r w:rsidRPr="00D16310">
        <w:rPr>
          <w:rFonts w:asciiTheme="majorHAnsi" w:hAnsiTheme="majorHAnsi" w:cstheme="majorHAnsi"/>
          <w:sz w:val="22"/>
          <w:szCs w:val="22"/>
        </w:rPr>
        <w:t xml:space="preserve">Avoir </w:t>
      </w:r>
      <w:r w:rsidR="004C6559">
        <w:rPr>
          <w:rFonts w:asciiTheme="majorHAnsi" w:hAnsiTheme="majorHAnsi" w:cstheme="majorHAnsi"/>
          <w:sz w:val="22"/>
          <w:szCs w:val="22"/>
        </w:rPr>
        <w:t xml:space="preserve">au moins </w:t>
      </w:r>
      <w:r w:rsidRPr="00D16310">
        <w:rPr>
          <w:rFonts w:asciiTheme="majorHAnsi" w:hAnsiTheme="majorHAnsi" w:cstheme="majorHAnsi"/>
          <w:sz w:val="22"/>
          <w:szCs w:val="22"/>
        </w:rPr>
        <w:t>un diplôme d</w:t>
      </w:r>
      <w:r w:rsidR="00BD1AC2">
        <w:rPr>
          <w:rFonts w:asciiTheme="majorHAnsi" w:hAnsiTheme="majorHAnsi" w:cstheme="majorHAnsi"/>
          <w:sz w:val="22"/>
          <w:szCs w:val="22"/>
        </w:rPr>
        <w:t xml:space="preserve">e l’enseignement </w:t>
      </w:r>
      <w:r w:rsidR="004C6559" w:rsidRPr="004C6559">
        <w:rPr>
          <w:rFonts w:asciiTheme="majorHAnsi" w:hAnsiTheme="majorHAnsi" w:cstheme="majorHAnsi"/>
          <w:sz w:val="22"/>
          <w:szCs w:val="22"/>
          <w:lang w:val="fr-FR"/>
        </w:rPr>
        <w:t>supérieur</w:t>
      </w:r>
      <w:r w:rsidR="00BD1AC2">
        <w:rPr>
          <w:rFonts w:asciiTheme="majorHAnsi" w:hAnsiTheme="majorHAnsi" w:cstheme="majorHAnsi"/>
          <w:sz w:val="22"/>
          <w:szCs w:val="22"/>
        </w:rPr>
        <w:t xml:space="preserve"> </w:t>
      </w:r>
      <w:r w:rsidR="004C6559">
        <w:rPr>
          <w:rFonts w:asciiTheme="majorHAnsi" w:hAnsiTheme="majorHAnsi" w:cstheme="majorHAnsi"/>
          <w:sz w:val="22"/>
          <w:szCs w:val="22"/>
        </w:rPr>
        <w:t xml:space="preserve">niveau maitrise </w:t>
      </w:r>
      <w:r w:rsidR="00BD1AC2">
        <w:rPr>
          <w:rFonts w:asciiTheme="majorHAnsi" w:hAnsiTheme="majorHAnsi" w:cstheme="majorHAnsi"/>
          <w:sz w:val="22"/>
          <w:szCs w:val="22"/>
        </w:rPr>
        <w:t xml:space="preserve">en education, planification, suivi-evaluatoion ou </w:t>
      </w:r>
      <w:r w:rsidR="004C6559">
        <w:rPr>
          <w:rFonts w:asciiTheme="majorHAnsi" w:hAnsiTheme="majorHAnsi" w:cstheme="majorHAnsi"/>
          <w:sz w:val="22"/>
          <w:szCs w:val="22"/>
        </w:rPr>
        <w:t xml:space="preserve">dan sle domaine des </w:t>
      </w:r>
      <w:r w:rsidR="00BD1AC2">
        <w:rPr>
          <w:rFonts w:asciiTheme="majorHAnsi" w:hAnsiTheme="majorHAnsi" w:cstheme="majorHAnsi"/>
          <w:sz w:val="22"/>
          <w:szCs w:val="22"/>
        </w:rPr>
        <w:t xml:space="preserve">sciences sociales </w:t>
      </w:r>
      <w:r w:rsidRPr="00D16310">
        <w:rPr>
          <w:rFonts w:asciiTheme="majorHAnsi" w:hAnsiTheme="majorHAnsi" w:cstheme="majorHAnsi"/>
          <w:sz w:val="22"/>
          <w:szCs w:val="22"/>
        </w:rPr>
        <w:t>;</w:t>
      </w:r>
    </w:p>
    <w:p w14:paraId="6B43E75C" w14:textId="5F99424F" w:rsidR="00F64892" w:rsidRPr="00D16310" w:rsidRDefault="00F64892" w:rsidP="00F64892">
      <w:pPr>
        <w:pStyle w:val="ListParagraph"/>
        <w:numPr>
          <w:ilvl w:val="0"/>
          <w:numId w:val="19"/>
        </w:numPr>
        <w:spacing w:after="160" w:line="259" w:lineRule="auto"/>
        <w:contextualSpacing/>
        <w:jc w:val="both"/>
        <w:rPr>
          <w:rFonts w:asciiTheme="majorHAnsi" w:hAnsiTheme="majorHAnsi" w:cstheme="majorHAnsi"/>
          <w:sz w:val="22"/>
          <w:szCs w:val="22"/>
        </w:rPr>
      </w:pPr>
      <w:r w:rsidRPr="00D16310">
        <w:rPr>
          <w:rFonts w:asciiTheme="majorHAnsi" w:hAnsiTheme="majorHAnsi" w:cstheme="majorHAnsi"/>
          <w:sz w:val="22"/>
          <w:szCs w:val="22"/>
        </w:rPr>
        <w:t xml:space="preserve">Disposer d’une solide expérience </w:t>
      </w:r>
      <w:r w:rsidR="004C6559">
        <w:rPr>
          <w:rFonts w:asciiTheme="majorHAnsi" w:hAnsiTheme="majorHAnsi" w:cstheme="majorHAnsi"/>
          <w:sz w:val="22"/>
          <w:szCs w:val="22"/>
        </w:rPr>
        <w:t xml:space="preserve">dans la planification de l’education, la definition des politiques et plans, l’evaluation, etc. </w:t>
      </w:r>
      <w:r w:rsidRPr="00D16310">
        <w:rPr>
          <w:rFonts w:asciiTheme="majorHAnsi" w:hAnsiTheme="majorHAnsi" w:cstheme="majorHAnsi"/>
          <w:sz w:val="22"/>
          <w:szCs w:val="22"/>
        </w:rPr>
        <w:t>;</w:t>
      </w:r>
    </w:p>
    <w:p w14:paraId="270FAEDB" w14:textId="52ED01A7" w:rsidR="00F64892" w:rsidRPr="00D16310" w:rsidRDefault="00F64892" w:rsidP="00F64892">
      <w:pPr>
        <w:pStyle w:val="ListParagraph"/>
        <w:numPr>
          <w:ilvl w:val="0"/>
          <w:numId w:val="19"/>
        </w:numPr>
        <w:spacing w:after="160" w:line="259" w:lineRule="auto"/>
        <w:contextualSpacing/>
        <w:jc w:val="both"/>
        <w:rPr>
          <w:rFonts w:asciiTheme="majorHAnsi" w:hAnsiTheme="majorHAnsi" w:cstheme="majorHAnsi"/>
          <w:sz w:val="22"/>
          <w:szCs w:val="22"/>
        </w:rPr>
      </w:pPr>
      <w:r w:rsidRPr="00D16310">
        <w:rPr>
          <w:rFonts w:asciiTheme="majorHAnsi" w:hAnsiTheme="majorHAnsi" w:cstheme="majorHAnsi"/>
          <w:sz w:val="22"/>
          <w:szCs w:val="22"/>
        </w:rPr>
        <w:t>Avoir</w:t>
      </w:r>
      <w:r w:rsidR="008C14B2">
        <w:rPr>
          <w:rFonts w:asciiTheme="majorHAnsi" w:hAnsiTheme="majorHAnsi" w:cstheme="majorHAnsi"/>
          <w:sz w:val="22"/>
          <w:szCs w:val="22"/>
        </w:rPr>
        <w:t xml:space="preserve"> au moins 5 ans d’</w:t>
      </w:r>
      <w:r w:rsidRPr="00D16310">
        <w:rPr>
          <w:rFonts w:asciiTheme="majorHAnsi" w:hAnsiTheme="majorHAnsi" w:cstheme="majorHAnsi"/>
          <w:sz w:val="22"/>
          <w:szCs w:val="22"/>
        </w:rPr>
        <w:t xml:space="preserve">expérience dans l’élaboration des </w:t>
      </w:r>
      <w:r w:rsidR="004C6559">
        <w:rPr>
          <w:rFonts w:asciiTheme="majorHAnsi" w:hAnsiTheme="majorHAnsi" w:cstheme="majorHAnsi"/>
          <w:sz w:val="22"/>
          <w:szCs w:val="22"/>
        </w:rPr>
        <w:t xml:space="preserve">politiques/plans, le suivi de leur mise en oeuvre, leur evaluation, etc. </w:t>
      </w:r>
      <w:r w:rsidRPr="00D16310">
        <w:rPr>
          <w:rFonts w:asciiTheme="majorHAnsi" w:hAnsiTheme="majorHAnsi" w:cstheme="majorHAnsi"/>
          <w:sz w:val="22"/>
          <w:szCs w:val="22"/>
        </w:rPr>
        <w:t xml:space="preserve">; </w:t>
      </w:r>
    </w:p>
    <w:p w14:paraId="420AFE51" w14:textId="77777777" w:rsidR="00F64892" w:rsidRPr="00D16310" w:rsidRDefault="00F64892" w:rsidP="00F64892">
      <w:pPr>
        <w:pStyle w:val="ListParagraph"/>
        <w:numPr>
          <w:ilvl w:val="0"/>
          <w:numId w:val="19"/>
        </w:numPr>
        <w:spacing w:after="160" w:line="259" w:lineRule="auto"/>
        <w:contextualSpacing/>
        <w:jc w:val="both"/>
        <w:rPr>
          <w:rFonts w:asciiTheme="majorHAnsi" w:hAnsiTheme="majorHAnsi" w:cstheme="majorHAnsi"/>
          <w:sz w:val="22"/>
          <w:szCs w:val="22"/>
        </w:rPr>
      </w:pPr>
      <w:r w:rsidRPr="00D16310">
        <w:rPr>
          <w:rFonts w:asciiTheme="majorHAnsi" w:hAnsiTheme="majorHAnsi" w:cstheme="majorHAnsi"/>
          <w:sz w:val="22"/>
          <w:szCs w:val="22"/>
        </w:rPr>
        <w:t>Avoir une bonne aptitude à travailler en équipe dans un milieu multiculturel ;</w:t>
      </w:r>
    </w:p>
    <w:p w14:paraId="3ACB3C13" w14:textId="467DD55E" w:rsidR="00F64892" w:rsidRPr="00D16310" w:rsidRDefault="00F64892" w:rsidP="00F64892">
      <w:pPr>
        <w:pStyle w:val="ListParagraph"/>
        <w:numPr>
          <w:ilvl w:val="0"/>
          <w:numId w:val="19"/>
        </w:numPr>
        <w:spacing w:after="160" w:line="259" w:lineRule="auto"/>
        <w:contextualSpacing/>
        <w:jc w:val="both"/>
        <w:rPr>
          <w:rFonts w:asciiTheme="majorHAnsi" w:hAnsiTheme="majorHAnsi" w:cstheme="majorHAnsi"/>
          <w:sz w:val="22"/>
          <w:szCs w:val="22"/>
        </w:rPr>
      </w:pPr>
      <w:r w:rsidRPr="00D16310">
        <w:rPr>
          <w:rFonts w:asciiTheme="majorHAnsi" w:hAnsiTheme="majorHAnsi" w:cstheme="majorHAnsi"/>
          <w:sz w:val="22"/>
          <w:szCs w:val="22"/>
        </w:rPr>
        <w:t>Avoir une</w:t>
      </w:r>
      <w:r>
        <w:rPr>
          <w:rFonts w:asciiTheme="majorHAnsi" w:hAnsiTheme="majorHAnsi" w:cstheme="majorHAnsi"/>
          <w:sz w:val="22"/>
          <w:szCs w:val="22"/>
        </w:rPr>
        <w:t xml:space="preserve"> parfaite maîtrise du français;</w:t>
      </w:r>
    </w:p>
    <w:p w14:paraId="21CC65CB" w14:textId="3E8AB24D" w:rsidR="00F64892" w:rsidRPr="00D16310" w:rsidRDefault="00F64892" w:rsidP="00F64892">
      <w:pPr>
        <w:pStyle w:val="ListParagraph"/>
        <w:numPr>
          <w:ilvl w:val="0"/>
          <w:numId w:val="19"/>
        </w:numPr>
        <w:spacing w:after="160" w:line="259" w:lineRule="auto"/>
        <w:contextualSpacing/>
        <w:jc w:val="both"/>
        <w:rPr>
          <w:rFonts w:asciiTheme="majorHAnsi" w:hAnsiTheme="majorHAnsi" w:cstheme="majorHAnsi"/>
          <w:sz w:val="22"/>
          <w:szCs w:val="22"/>
        </w:rPr>
      </w:pPr>
      <w:r w:rsidRPr="00D16310">
        <w:rPr>
          <w:rFonts w:asciiTheme="majorHAnsi" w:hAnsiTheme="majorHAnsi" w:cstheme="majorHAnsi"/>
          <w:sz w:val="22"/>
          <w:szCs w:val="22"/>
        </w:rPr>
        <w:t>Avoir une grande capacité d’écoute, d’analyse, de synthèse</w:t>
      </w:r>
      <w:r>
        <w:rPr>
          <w:rFonts w:asciiTheme="majorHAnsi" w:hAnsiTheme="majorHAnsi" w:cstheme="majorHAnsi"/>
          <w:sz w:val="22"/>
          <w:szCs w:val="22"/>
        </w:rPr>
        <w:t xml:space="preserve">, </w:t>
      </w:r>
      <w:r w:rsidRPr="00F64892">
        <w:rPr>
          <w:rFonts w:asciiTheme="majorHAnsi" w:hAnsiTheme="majorHAnsi" w:cstheme="majorHAnsi"/>
          <w:sz w:val="22"/>
          <w:szCs w:val="22"/>
          <w:lang w:val="fr-FR"/>
        </w:rPr>
        <w:t>rédaction</w:t>
      </w:r>
      <w:r w:rsidRPr="00D16310">
        <w:rPr>
          <w:rFonts w:asciiTheme="majorHAnsi" w:hAnsiTheme="majorHAnsi" w:cstheme="majorHAnsi"/>
          <w:sz w:val="22"/>
          <w:szCs w:val="22"/>
        </w:rPr>
        <w:t xml:space="preserve"> et de </w:t>
      </w:r>
      <w:r>
        <w:rPr>
          <w:rFonts w:asciiTheme="majorHAnsi" w:hAnsiTheme="majorHAnsi" w:cstheme="majorHAnsi"/>
          <w:sz w:val="22"/>
          <w:szCs w:val="22"/>
        </w:rPr>
        <w:t xml:space="preserve">formation d’adultes </w:t>
      </w:r>
      <w:r w:rsidRPr="00D16310">
        <w:rPr>
          <w:rFonts w:asciiTheme="majorHAnsi" w:hAnsiTheme="majorHAnsi" w:cstheme="majorHAnsi"/>
          <w:sz w:val="22"/>
          <w:szCs w:val="22"/>
        </w:rPr>
        <w:t>;</w:t>
      </w:r>
    </w:p>
    <w:p w14:paraId="0F13FF38" w14:textId="4D72841E" w:rsidR="00185A2A" w:rsidRPr="00C82D0A" w:rsidRDefault="00F64892" w:rsidP="00636B9A">
      <w:pPr>
        <w:pStyle w:val="ListParagraph"/>
        <w:numPr>
          <w:ilvl w:val="0"/>
          <w:numId w:val="19"/>
        </w:numPr>
        <w:spacing w:after="160" w:line="259" w:lineRule="auto"/>
        <w:contextualSpacing/>
        <w:jc w:val="both"/>
        <w:rPr>
          <w:rFonts w:asciiTheme="majorHAnsi" w:hAnsiTheme="majorHAnsi" w:cstheme="majorHAnsi"/>
          <w:sz w:val="22"/>
          <w:szCs w:val="22"/>
        </w:rPr>
      </w:pPr>
      <w:r w:rsidRPr="00BA16B2">
        <w:rPr>
          <w:rFonts w:asciiTheme="majorHAnsi" w:hAnsiTheme="majorHAnsi" w:cstheme="majorHAnsi"/>
          <w:sz w:val="22"/>
          <w:szCs w:val="22"/>
        </w:rPr>
        <w:lastRenderedPageBreak/>
        <w:t>La connaissance du contexte du Burundi est un atout indéniable.</w:t>
      </w:r>
    </w:p>
    <w:p w14:paraId="71C7F2D5" w14:textId="77777777" w:rsidR="00185A2A" w:rsidRPr="00443C6F" w:rsidRDefault="00185A2A" w:rsidP="00636B9A">
      <w:pPr>
        <w:rPr>
          <w:rFonts w:asciiTheme="majorHAnsi" w:hAnsiTheme="majorHAnsi" w:cstheme="majorHAnsi"/>
          <w:b/>
          <w:szCs w:val="22"/>
        </w:rPr>
      </w:pPr>
    </w:p>
    <w:p w14:paraId="0DA0C03A" w14:textId="30CF48EF" w:rsidR="00636B9A" w:rsidRPr="00443C6F" w:rsidRDefault="00F64892" w:rsidP="00636B9A">
      <w:pPr>
        <w:shd w:val="clear" w:color="auto" w:fill="D9D9D9"/>
        <w:rPr>
          <w:rFonts w:asciiTheme="majorHAnsi" w:hAnsiTheme="majorHAnsi" w:cstheme="majorHAnsi"/>
          <w:b/>
          <w:szCs w:val="22"/>
          <w:lang w:val="fr-FR"/>
        </w:rPr>
      </w:pPr>
      <w:r>
        <w:rPr>
          <w:rFonts w:asciiTheme="majorHAnsi" w:hAnsiTheme="majorHAnsi" w:cstheme="majorHAnsi"/>
          <w:b/>
          <w:szCs w:val="22"/>
          <w:lang w:val="fr-FR"/>
        </w:rPr>
        <w:t>Questions a</w:t>
      </w:r>
      <w:r w:rsidR="00636B9A" w:rsidRPr="00443C6F">
        <w:rPr>
          <w:rFonts w:asciiTheme="majorHAnsi" w:hAnsiTheme="majorHAnsi" w:cstheme="majorHAnsi"/>
          <w:b/>
          <w:szCs w:val="22"/>
          <w:lang w:val="fr-FR"/>
        </w:rPr>
        <w:t>dministrative</w:t>
      </w:r>
      <w:r>
        <w:rPr>
          <w:rFonts w:asciiTheme="majorHAnsi" w:hAnsiTheme="majorHAnsi" w:cstheme="majorHAnsi"/>
          <w:b/>
          <w:szCs w:val="22"/>
          <w:lang w:val="fr-FR"/>
        </w:rPr>
        <w:t>s</w:t>
      </w:r>
    </w:p>
    <w:p w14:paraId="4F1521EA" w14:textId="02EE31EE" w:rsidR="00376496" w:rsidRPr="00443C6F" w:rsidRDefault="00376496" w:rsidP="00376496">
      <w:pPr>
        <w:spacing w:before="240" w:after="240" w:line="259" w:lineRule="auto"/>
        <w:jc w:val="both"/>
        <w:rPr>
          <w:rFonts w:asciiTheme="majorHAnsi" w:hAnsiTheme="majorHAnsi" w:cstheme="majorHAnsi"/>
          <w:szCs w:val="22"/>
        </w:rPr>
      </w:pPr>
      <w:r w:rsidRPr="00443C6F">
        <w:rPr>
          <w:rFonts w:asciiTheme="majorHAnsi" w:hAnsiTheme="majorHAnsi" w:cstheme="majorHAnsi"/>
          <w:szCs w:val="22"/>
        </w:rPr>
        <w:t xml:space="preserve">Le consultant sera basé au ministère avec des visites fréquentes aux différents partenaires.  </w:t>
      </w:r>
    </w:p>
    <w:p w14:paraId="33CC02C2" w14:textId="767B9A58" w:rsidR="00376496" w:rsidRPr="00443C6F" w:rsidRDefault="00AA079E" w:rsidP="00376496">
      <w:pPr>
        <w:spacing w:before="240" w:after="240" w:line="259" w:lineRule="auto"/>
        <w:jc w:val="both"/>
        <w:rPr>
          <w:rFonts w:asciiTheme="majorHAnsi" w:hAnsiTheme="majorHAnsi" w:cstheme="majorHAnsi"/>
          <w:szCs w:val="22"/>
        </w:rPr>
      </w:pPr>
      <w:r w:rsidRPr="00443C6F">
        <w:rPr>
          <w:rFonts w:asciiTheme="majorHAnsi" w:hAnsiTheme="majorHAnsi" w:cstheme="majorHAnsi"/>
          <w:szCs w:val="22"/>
        </w:rPr>
        <w:t>Il tiendra des ré</w:t>
      </w:r>
      <w:r w:rsidR="00376496" w:rsidRPr="00443C6F">
        <w:rPr>
          <w:rFonts w:asciiTheme="majorHAnsi" w:hAnsiTheme="majorHAnsi" w:cstheme="majorHAnsi"/>
          <w:szCs w:val="22"/>
        </w:rPr>
        <w:t>unions p</w:t>
      </w:r>
      <w:r w:rsidRPr="00443C6F">
        <w:rPr>
          <w:rFonts w:asciiTheme="majorHAnsi" w:hAnsiTheme="majorHAnsi" w:cstheme="majorHAnsi"/>
          <w:szCs w:val="22"/>
        </w:rPr>
        <w:t>é</w:t>
      </w:r>
      <w:r w:rsidR="00376496" w:rsidRPr="00443C6F">
        <w:rPr>
          <w:rFonts w:asciiTheme="majorHAnsi" w:hAnsiTheme="majorHAnsi" w:cstheme="majorHAnsi"/>
          <w:szCs w:val="22"/>
        </w:rPr>
        <w:t>riodiques avec les sp</w:t>
      </w:r>
      <w:r w:rsidR="00D80350" w:rsidRPr="00443C6F">
        <w:rPr>
          <w:rFonts w:asciiTheme="majorHAnsi" w:hAnsiTheme="majorHAnsi" w:cstheme="majorHAnsi"/>
          <w:szCs w:val="22"/>
        </w:rPr>
        <w:t>é</w:t>
      </w:r>
      <w:r w:rsidR="00376496" w:rsidRPr="00443C6F">
        <w:rPr>
          <w:rFonts w:asciiTheme="majorHAnsi" w:hAnsiTheme="majorHAnsi" w:cstheme="majorHAnsi"/>
          <w:szCs w:val="22"/>
        </w:rPr>
        <w:t>cialistes de l’</w:t>
      </w:r>
      <w:r w:rsidR="00266098" w:rsidRPr="00443C6F">
        <w:rPr>
          <w:rFonts w:asciiTheme="majorHAnsi" w:hAnsiTheme="majorHAnsi" w:cstheme="majorHAnsi"/>
          <w:szCs w:val="22"/>
        </w:rPr>
        <w:t>é</w:t>
      </w:r>
      <w:r w:rsidR="00376496" w:rsidRPr="00443C6F">
        <w:rPr>
          <w:rFonts w:asciiTheme="majorHAnsi" w:hAnsiTheme="majorHAnsi" w:cstheme="majorHAnsi"/>
          <w:szCs w:val="22"/>
        </w:rPr>
        <w:t>ducation de l’UNICEF pour faire le point sur l’</w:t>
      </w:r>
      <w:r w:rsidR="00266098" w:rsidRPr="00443C6F">
        <w:rPr>
          <w:rFonts w:asciiTheme="majorHAnsi" w:hAnsiTheme="majorHAnsi" w:cstheme="majorHAnsi"/>
          <w:szCs w:val="22"/>
        </w:rPr>
        <w:t>é</w:t>
      </w:r>
      <w:r w:rsidR="00376496" w:rsidRPr="00443C6F">
        <w:rPr>
          <w:rFonts w:asciiTheme="majorHAnsi" w:hAnsiTheme="majorHAnsi" w:cstheme="majorHAnsi"/>
          <w:szCs w:val="22"/>
        </w:rPr>
        <w:t xml:space="preserve">tat d’avancement de la consultance. </w:t>
      </w:r>
    </w:p>
    <w:p w14:paraId="50EEF6C4" w14:textId="77777777" w:rsidR="00636B9A" w:rsidRPr="00443C6F" w:rsidRDefault="00636B9A" w:rsidP="00016DCE">
      <w:pPr>
        <w:keepNext/>
        <w:keepLines/>
        <w:rPr>
          <w:rFonts w:asciiTheme="majorHAnsi" w:hAnsiTheme="majorHAnsi" w:cstheme="majorHAnsi"/>
          <w:b/>
          <w:szCs w:val="22"/>
          <w:lang w:val="fr-FR"/>
        </w:rPr>
      </w:pPr>
    </w:p>
    <w:p w14:paraId="7A7D9C5C" w14:textId="77777777" w:rsidR="00636B9A" w:rsidRPr="00443C6F" w:rsidRDefault="00636B9A" w:rsidP="00016DCE">
      <w:pPr>
        <w:keepNext/>
        <w:keepLines/>
        <w:shd w:val="clear" w:color="auto" w:fill="D9D9D9"/>
        <w:rPr>
          <w:rFonts w:asciiTheme="majorHAnsi" w:hAnsiTheme="majorHAnsi" w:cstheme="majorHAnsi"/>
          <w:b/>
          <w:szCs w:val="22"/>
          <w:lang w:val="fr-FR"/>
        </w:rPr>
      </w:pPr>
      <w:r w:rsidRPr="00443C6F">
        <w:rPr>
          <w:rFonts w:asciiTheme="majorHAnsi" w:hAnsiTheme="majorHAnsi" w:cstheme="majorHAnsi"/>
          <w:b/>
          <w:szCs w:val="22"/>
          <w:lang w:val="fr-FR"/>
        </w:rPr>
        <w:t xml:space="preserve">Conditions </w:t>
      </w:r>
    </w:p>
    <w:p w14:paraId="3FE4697C" w14:textId="77777777" w:rsidR="00636B9A" w:rsidRPr="00443C6F" w:rsidRDefault="00636B9A" w:rsidP="00016DCE">
      <w:pPr>
        <w:keepNext/>
        <w:keepLines/>
        <w:shd w:val="clear" w:color="auto" w:fill="D9D9D9"/>
        <w:rPr>
          <w:rFonts w:asciiTheme="majorHAnsi" w:hAnsiTheme="majorHAnsi" w:cstheme="majorHAnsi"/>
          <w:b/>
          <w:szCs w:val="22"/>
          <w:lang w:val="fr-FR"/>
        </w:rPr>
      </w:pPr>
    </w:p>
    <w:p w14:paraId="38AFA1D3" w14:textId="77777777" w:rsidR="00636B9A" w:rsidRPr="00443C6F" w:rsidRDefault="00636B9A" w:rsidP="00016DCE">
      <w:pPr>
        <w:keepNext/>
        <w:keepLines/>
        <w:rPr>
          <w:rFonts w:asciiTheme="majorHAnsi" w:hAnsiTheme="majorHAnsi" w:cstheme="majorHAnsi"/>
          <w:b/>
          <w:szCs w:val="22"/>
          <w:lang w:val="fr-FR"/>
        </w:rPr>
      </w:pPr>
    </w:p>
    <w:p w14:paraId="7398D00D" w14:textId="77777777" w:rsidR="00266098" w:rsidRPr="00443C6F" w:rsidRDefault="00266098" w:rsidP="00266098">
      <w:pPr>
        <w:jc w:val="both"/>
        <w:rPr>
          <w:rFonts w:asciiTheme="majorHAnsi" w:hAnsiTheme="majorHAnsi" w:cstheme="majorHAnsi"/>
          <w:szCs w:val="22"/>
        </w:rPr>
      </w:pPr>
      <w:r w:rsidRPr="00443C6F">
        <w:rPr>
          <w:rFonts w:asciiTheme="majorHAnsi" w:hAnsiTheme="majorHAnsi" w:cstheme="majorHAnsi"/>
          <w:szCs w:val="22"/>
        </w:rPr>
        <w:t> L’offre financière couvrira les dépenses suivantes :</w:t>
      </w:r>
    </w:p>
    <w:p w14:paraId="487270A4" w14:textId="77777777" w:rsidR="00266098" w:rsidRPr="00443C6F" w:rsidRDefault="00266098" w:rsidP="00266098">
      <w:pPr>
        <w:pStyle w:val="ListParagraph"/>
        <w:numPr>
          <w:ilvl w:val="0"/>
          <w:numId w:val="19"/>
        </w:numPr>
        <w:spacing w:after="160" w:line="259" w:lineRule="auto"/>
        <w:contextualSpacing/>
        <w:jc w:val="both"/>
        <w:rPr>
          <w:rFonts w:asciiTheme="majorHAnsi" w:hAnsiTheme="majorHAnsi" w:cstheme="majorHAnsi"/>
          <w:sz w:val="22"/>
          <w:szCs w:val="22"/>
        </w:rPr>
      </w:pPr>
      <w:r w:rsidRPr="00443C6F">
        <w:rPr>
          <w:rFonts w:asciiTheme="majorHAnsi" w:hAnsiTheme="majorHAnsi" w:cstheme="majorHAnsi"/>
          <w:sz w:val="22"/>
          <w:szCs w:val="22"/>
        </w:rPr>
        <w:t>Les honoraires ;</w:t>
      </w:r>
    </w:p>
    <w:p w14:paraId="69582F66" w14:textId="6E9AB8A8" w:rsidR="00266098" w:rsidRDefault="00266098" w:rsidP="00266098">
      <w:pPr>
        <w:pStyle w:val="ListParagraph"/>
        <w:numPr>
          <w:ilvl w:val="0"/>
          <w:numId w:val="19"/>
        </w:numPr>
        <w:spacing w:after="160" w:line="259" w:lineRule="auto"/>
        <w:contextualSpacing/>
        <w:jc w:val="both"/>
        <w:rPr>
          <w:rFonts w:asciiTheme="majorHAnsi" w:hAnsiTheme="majorHAnsi" w:cstheme="majorHAnsi"/>
          <w:sz w:val="22"/>
          <w:szCs w:val="22"/>
        </w:rPr>
      </w:pPr>
      <w:r w:rsidRPr="00443C6F">
        <w:rPr>
          <w:rFonts w:asciiTheme="majorHAnsi" w:hAnsiTheme="majorHAnsi" w:cstheme="majorHAnsi"/>
          <w:sz w:val="22"/>
          <w:szCs w:val="22"/>
        </w:rPr>
        <w:t>Les frais de déplacement, de communication et reproduction de documents pour recueillir les contributions des différents partenaires.</w:t>
      </w:r>
    </w:p>
    <w:p w14:paraId="3ADE94B9" w14:textId="77777777" w:rsidR="00685207" w:rsidRPr="00685207" w:rsidRDefault="00685207" w:rsidP="00685207">
      <w:pPr>
        <w:pStyle w:val="ListParagraph"/>
        <w:numPr>
          <w:ilvl w:val="0"/>
          <w:numId w:val="19"/>
        </w:numPr>
        <w:rPr>
          <w:rFonts w:asciiTheme="majorHAnsi" w:hAnsiTheme="majorHAnsi" w:cstheme="majorHAnsi"/>
          <w:sz w:val="22"/>
          <w:szCs w:val="22"/>
        </w:rPr>
      </w:pPr>
      <w:r w:rsidRPr="00685207">
        <w:rPr>
          <w:rFonts w:asciiTheme="majorHAnsi" w:hAnsiTheme="majorHAnsi" w:cstheme="majorHAnsi"/>
          <w:sz w:val="22"/>
          <w:szCs w:val="22"/>
        </w:rPr>
        <w:t>Le consultant utilisera son propre matériel/ équipement (ex. ordinateur, logiciels, …)</w:t>
      </w:r>
    </w:p>
    <w:p w14:paraId="1A421125" w14:textId="7BD8CCB8" w:rsidR="00685207" w:rsidRDefault="00685207" w:rsidP="00685207">
      <w:pPr>
        <w:pStyle w:val="ListParagraph"/>
        <w:numPr>
          <w:ilvl w:val="0"/>
          <w:numId w:val="19"/>
        </w:numPr>
        <w:rPr>
          <w:rFonts w:asciiTheme="majorHAnsi" w:hAnsiTheme="majorHAnsi" w:cstheme="majorHAnsi"/>
          <w:sz w:val="22"/>
          <w:szCs w:val="22"/>
        </w:rPr>
      </w:pPr>
      <w:r w:rsidRPr="00685207">
        <w:rPr>
          <w:rFonts w:asciiTheme="majorHAnsi" w:hAnsiTheme="majorHAnsi" w:cstheme="majorHAnsi"/>
          <w:sz w:val="22"/>
          <w:szCs w:val="22"/>
        </w:rPr>
        <w:t>Si le consultant est actuellement employé par une autre administration, il / elle doit fournir une attestation de son employeur l’autorisant de travailler en tant que consultant pour l’UNICEF.</w:t>
      </w:r>
    </w:p>
    <w:p w14:paraId="473296D8" w14:textId="77777777" w:rsidR="00685207" w:rsidRPr="00F64892" w:rsidRDefault="00685207" w:rsidP="00F64892">
      <w:pPr>
        <w:ind w:left="360"/>
        <w:rPr>
          <w:rFonts w:asciiTheme="majorHAnsi" w:hAnsiTheme="majorHAnsi" w:cstheme="majorHAnsi"/>
          <w:szCs w:val="22"/>
        </w:rPr>
      </w:pPr>
    </w:p>
    <w:p w14:paraId="0593EAA6" w14:textId="77777777" w:rsidR="00266098" w:rsidRPr="00443C6F" w:rsidRDefault="00266098" w:rsidP="00266098">
      <w:pPr>
        <w:jc w:val="both"/>
        <w:rPr>
          <w:rFonts w:asciiTheme="majorHAnsi" w:hAnsiTheme="majorHAnsi" w:cstheme="majorHAnsi"/>
          <w:szCs w:val="22"/>
        </w:rPr>
      </w:pPr>
      <w:r w:rsidRPr="00443C6F">
        <w:rPr>
          <w:rFonts w:asciiTheme="majorHAnsi" w:hAnsiTheme="majorHAnsi" w:cstheme="majorHAnsi"/>
          <w:szCs w:val="22"/>
        </w:rPr>
        <w:t>Tout autre frais sera à la charge du consultant, notamment sa couverture médicale.</w:t>
      </w:r>
    </w:p>
    <w:p w14:paraId="12E8DAA9" w14:textId="77777777" w:rsidR="00636B9A" w:rsidRPr="00443C6F" w:rsidRDefault="00636B9A" w:rsidP="00636B9A">
      <w:pPr>
        <w:ind w:left="360"/>
        <w:rPr>
          <w:rFonts w:asciiTheme="majorHAnsi" w:hAnsiTheme="majorHAnsi" w:cstheme="majorHAnsi"/>
          <w:szCs w:val="22"/>
        </w:rPr>
      </w:pPr>
    </w:p>
    <w:p w14:paraId="5A833557" w14:textId="7874F0EE" w:rsidR="00266098" w:rsidRPr="00443C6F" w:rsidRDefault="00266098" w:rsidP="00266098">
      <w:pPr>
        <w:jc w:val="both"/>
        <w:rPr>
          <w:rFonts w:asciiTheme="majorHAnsi" w:hAnsiTheme="majorHAnsi" w:cstheme="majorHAnsi"/>
          <w:b/>
          <w:szCs w:val="22"/>
        </w:rPr>
      </w:pPr>
      <w:r w:rsidRPr="00443C6F">
        <w:rPr>
          <w:rFonts w:asciiTheme="majorHAnsi" w:hAnsiTheme="majorHAnsi" w:cstheme="majorHAnsi"/>
          <w:b/>
          <w:szCs w:val="22"/>
        </w:rPr>
        <w:t>L'UNICEF ne tolère aucune forme d'exploitation sexuelle, d'abus et de harcèlement sexuel dans le cadre de ses activités.</w:t>
      </w:r>
    </w:p>
    <w:p w14:paraId="795BF9EF" w14:textId="0F962EAE" w:rsidR="00636B9A" w:rsidRPr="00443C6F" w:rsidRDefault="00266098" w:rsidP="00266098">
      <w:pPr>
        <w:jc w:val="both"/>
        <w:rPr>
          <w:rFonts w:asciiTheme="majorHAnsi" w:hAnsiTheme="majorHAnsi" w:cstheme="majorHAnsi"/>
          <w:i/>
          <w:szCs w:val="22"/>
          <w:lang w:val="fr-FR"/>
        </w:rPr>
      </w:pPr>
      <w:r w:rsidRPr="00443C6F">
        <w:rPr>
          <w:rFonts w:asciiTheme="majorHAnsi" w:hAnsiTheme="majorHAnsi" w:cstheme="majorHAnsi"/>
          <w:b/>
          <w:szCs w:val="22"/>
        </w:rPr>
        <w:t xml:space="preserve">Le contrat sera </w:t>
      </w:r>
      <w:r w:rsidRPr="00443C6F">
        <w:rPr>
          <w:rFonts w:asciiTheme="majorHAnsi" w:hAnsiTheme="majorHAnsi" w:cstheme="majorHAnsi"/>
          <w:b/>
          <w:szCs w:val="22"/>
          <w:lang w:val="fr-FR"/>
        </w:rPr>
        <w:t>régis</w:t>
      </w:r>
      <w:r w:rsidRPr="00443C6F">
        <w:rPr>
          <w:rFonts w:asciiTheme="majorHAnsi" w:hAnsiTheme="majorHAnsi" w:cstheme="majorHAnsi"/>
          <w:b/>
          <w:szCs w:val="22"/>
        </w:rPr>
        <w:t xml:space="preserve"> par les </w:t>
      </w:r>
      <w:r w:rsidRPr="00443C6F">
        <w:rPr>
          <w:rFonts w:asciiTheme="majorHAnsi" w:hAnsiTheme="majorHAnsi" w:cstheme="majorHAnsi"/>
          <w:b/>
          <w:szCs w:val="22"/>
          <w:lang w:val="fr-FR"/>
        </w:rPr>
        <w:t>règles</w:t>
      </w:r>
      <w:r w:rsidRPr="00443C6F">
        <w:rPr>
          <w:rFonts w:asciiTheme="majorHAnsi" w:hAnsiTheme="majorHAnsi" w:cstheme="majorHAnsi"/>
          <w:b/>
          <w:szCs w:val="22"/>
        </w:rPr>
        <w:t xml:space="preserve"> et conditions de l’UNICEF telles que </w:t>
      </w:r>
      <w:r w:rsidRPr="00443C6F">
        <w:rPr>
          <w:rFonts w:asciiTheme="majorHAnsi" w:hAnsiTheme="majorHAnsi" w:cstheme="majorHAnsi"/>
          <w:b/>
          <w:szCs w:val="22"/>
          <w:lang w:val="fr-BE"/>
        </w:rPr>
        <w:t>définies</w:t>
      </w:r>
      <w:r w:rsidRPr="00443C6F">
        <w:rPr>
          <w:rFonts w:asciiTheme="majorHAnsi" w:hAnsiTheme="majorHAnsi" w:cstheme="majorHAnsi"/>
          <w:b/>
          <w:szCs w:val="22"/>
        </w:rPr>
        <w:t xml:space="preserve"> par: “</w:t>
      </w:r>
      <w:proofErr w:type="spellStart"/>
      <w:r w:rsidR="00636B9A" w:rsidRPr="00443C6F">
        <w:rPr>
          <w:rFonts w:asciiTheme="majorHAnsi" w:hAnsiTheme="majorHAnsi" w:cstheme="majorHAnsi"/>
          <w:i/>
          <w:szCs w:val="22"/>
          <w:lang w:val="fr-FR"/>
        </w:rPr>
        <w:t>UNICEF’s</w:t>
      </w:r>
      <w:proofErr w:type="spellEnd"/>
      <w:r w:rsidR="00636B9A" w:rsidRPr="00443C6F">
        <w:rPr>
          <w:rFonts w:asciiTheme="majorHAnsi" w:hAnsiTheme="majorHAnsi" w:cstheme="majorHAnsi"/>
          <w:i/>
          <w:szCs w:val="22"/>
          <w:lang w:val="fr-FR"/>
        </w:rPr>
        <w:t xml:space="preserve"> General </w:t>
      </w:r>
      <w:proofErr w:type="spellStart"/>
      <w:r w:rsidR="00636B9A" w:rsidRPr="00443C6F">
        <w:rPr>
          <w:rFonts w:asciiTheme="majorHAnsi" w:hAnsiTheme="majorHAnsi" w:cstheme="majorHAnsi"/>
          <w:i/>
          <w:szCs w:val="22"/>
          <w:lang w:val="fr-FR"/>
        </w:rPr>
        <w:t>Terms</w:t>
      </w:r>
      <w:proofErr w:type="spellEnd"/>
      <w:r w:rsidR="00636B9A" w:rsidRPr="00443C6F">
        <w:rPr>
          <w:rFonts w:asciiTheme="majorHAnsi" w:hAnsiTheme="majorHAnsi" w:cstheme="majorHAnsi"/>
          <w:i/>
          <w:szCs w:val="22"/>
          <w:lang w:val="fr-FR"/>
        </w:rPr>
        <w:t xml:space="preserve"> and Conditions for </w:t>
      </w:r>
      <w:proofErr w:type="spellStart"/>
      <w:r w:rsidR="00636B9A" w:rsidRPr="00443C6F">
        <w:rPr>
          <w:rFonts w:asciiTheme="majorHAnsi" w:hAnsiTheme="majorHAnsi" w:cstheme="majorHAnsi"/>
          <w:i/>
          <w:szCs w:val="22"/>
          <w:lang w:val="fr-FR"/>
        </w:rPr>
        <w:t>individual</w:t>
      </w:r>
      <w:proofErr w:type="spellEnd"/>
      <w:r w:rsidR="00636B9A" w:rsidRPr="00443C6F">
        <w:rPr>
          <w:rFonts w:asciiTheme="majorHAnsi" w:hAnsiTheme="majorHAnsi" w:cstheme="majorHAnsi"/>
          <w:i/>
          <w:szCs w:val="22"/>
          <w:lang w:val="fr-FR"/>
        </w:rPr>
        <w:t xml:space="preserve"> </w:t>
      </w:r>
      <w:proofErr w:type="spellStart"/>
      <w:r w:rsidR="00636B9A" w:rsidRPr="00443C6F">
        <w:rPr>
          <w:rFonts w:asciiTheme="majorHAnsi" w:hAnsiTheme="majorHAnsi" w:cstheme="majorHAnsi"/>
          <w:i/>
          <w:szCs w:val="22"/>
          <w:lang w:val="fr-FR"/>
        </w:rPr>
        <w:t>contracts</w:t>
      </w:r>
      <w:proofErr w:type="spellEnd"/>
      <w:r w:rsidR="00636B9A" w:rsidRPr="00443C6F">
        <w:rPr>
          <w:rFonts w:asciiTheme="majorHAnsi" w:hAnsiTheme="majorHAnsi" w:cstheme="majorHAnsi"/>
          <w:i/>
          <w:szCs w:val="22"/>
          <w:lang w:val="fr-FR"/>
        </w:rPr>
        <w:t>.”</w:t>
      </w:r>
    </w:p>
    <w:p w14:paraId="5890335E" w14:textId="77777777" w:rsidR="001E39E6" w:rsidRPr="00443C6F" w:rsidRDefault="001E39E6" w:rsidP="001E39E6">
      <w:pPr>
        <w:pStyle w:val="Header"/>
        <w:tabs>
          <w:tab w:val="clear" w:pos="4320"/>
          <w:tab w:val="clear" w:pos="8640"/>
        </w:tabs>
        <w:outlineLvl w:val="0"/>
        <w:rPr>
          <w:rFonts w:asciiTheme="majorHAnsi" w:hAnsiTheme="majorHAnsi" w:cstheme="majorHAnsi"/>
          <w:i/>
          <w:szCs w:val="22"/>
          <w:lang w:val="fr-FR"/>
        </w:rPr>
      </w:pPr>
    </w:p>
    <w:p w14:paraId="2F0F8C91" w14:textId="77777777" w:rsidR="00636B9A" w:rsidRPr="00443C6F" w:rsidRDefault="00636B9A" w:rsidP="00636B9A">
      <w:pPr>
        <w:rPr>
          <w:rFonts w:asciiTheme="majorHAnsi" w:hAnsiTheme="majorHAnsi" w:cstheme="majorHAnsi"/>
          <w:i/>
          <w:szCs w:val="22"/>
          <w:lang w:val="fr-FR"/>
        </w:rPr>
      </w:pPr>
    </w:p>
    <w:p w14:paraId="02907457" w14:textId="77777777" w:rsidR="00636B9A" w:rsidRPr="00443C6F" w:rsidRDefault="00636B9A" w:rsidP="00636B9A">
      <w:pPr>
        <w:shd w:val="clear" w:color="auto" w:fill="D9D9D9"/>
        <w:rPr>
          <w:rFonts w:asciiTheme="majorHAnsi" w:hAnsiTheme="majorHAnsi" w:cstheme="majorHAnsi"/>
          <w:b/>
          <w:szCs w:val="22"/>
          <w:lang w:val="fr-FR"/>
        </w:rPr>
      </w:pPr>
      <w:r w:rsidRPr="00443C6F">
        <w:rPr>
          <w:rFonts w:asciiTheme="majorHAnsi" w:hAnsiTheme="majorHAnsi" w:cstheme="majorHAnsi"/>
          <w:b/>
          <w:szCs w:val="22"/>
          <w:lang w:val="fr-FR"/>
        </w:rPr>
        <w:t>Risks</w:t>
      </w:r>
    </w:p>
    <w:p w14:paraId="7ACBE307" w14:textId="77777777" w:rsidR="00636B9A" w:rsidRPr="00443C6F" w:rsidRDefault="00636B9A" w:rsidP="00636B9A">
      <w:pPr>
        <w:shd w:val="clear" w:color="auto" w:fill="D9D9D9"/>
        <w:rPr>
          <w:rFonts w:asciiTheme="majorHAnsi" w:hAnsiTheme="majorHAnsi" w:cstheme="majorHAnsi"/>
          <w:b/>
          <w:szCs w:val="22"/>
          <w:lang w:val="fr-FR"/>
        </w:rPr>
      </w:pPr>
    </w:p>
    <w:p w14:paraId="7AD170F0" w14:textId="77777777" w:rsidR="00636B9A" w:rsidRPr="00443C6F" w:rsidRDefault="00636B9A" w:rsidP="00636B9A">
      <w:pPr>
        <w:spacing w:line="240" w:lineRule="auto"/>
        <w:rPr>
          <w:rFonts w:asciiTheme="majorHAnsi" w:eastAsia="MS Mincho" w:hAnsiTheme="majorHAnsi" w:cstheme="majorHAnsi"/>
          <w:i/>
          <w:szCs w:val="22"/>
          <w:lang w:val="fr-FR"/>
        </w:rPr>
      </w:pPr>
    </w:p>
    <w:p w14:paraId="5026413D" w14:textId="77777777" w:rsidR="00950E25" w:rsidRPr="00443C6F" w:rsidRDefault="00950E25" w:rsidP="00636B9A">
      <w:pPr>
        <w:rPr>
          <w:rFonts w:asciiTheme="majorHAnsi" w:hAnsiTheme="majorHAnsi" w:cstheme="majorHAnsi"/>
          <w:szCs w:val="22"/>
        </w:rPr>
      </w:pPr>
      <w:r w:rsidRPr="00443C6F">
        <w:rPr>
          <w:rFonts w:asciiTheme="majorHAnsi" w:hAnsiTheme="majorHAnsi" w:cstheme="majorHAnsi"/>
          <w:szCs w:val="22"/>
        </w:rPr>
        <w:t>Risques possibles</w:t>
      </w:r>
    </w:p>
    <w:p w14:paraId="4FE69F99" w14:textId="44EB4584" w:rsidR="00636B9A" w:rsidRPr="00443C6F" w:rsidRDefault="00950E25" w:rsidP="00636B9A">
      <w:pPr>
        <w:rPr>
          <w:rFonts w:asciiTheme="majorHAnsi" w:hAnsiTheme="majorHAnsi" w:cstheme="majorHAnsi"/>
          <w:szCs w:val="22"/>
        </w:rPr>
      </w:pPr>
      <w:r w:rsidRPr="00443C6F">
        <w:rPr>
          <w:rFonts w:asciiTheme="majorHAnsi" w:hAnsiTheme="majorHAnsi" w:cstheme="majorHAnsi"/>
          <w:szCs w:val="22"/>
        </w:rPr>
        <w:t>Détérioration de l’environnement socio-politique</w:t>
      </w:r>
    </w:p>
    <w:p w14:paraId="213C25CD" w14:textId="3A00F582" w:rsidR="00950E25" w:rsidRPr="00443C6F" w:rsidRDefault="00950E25" w:rsidP="00636B9A">
      <w:pPr>
        <w:rPr>
          <w:rFonts w:asciiTheme="majorHAnsi" w:hAnsiTheme="majorHAnsi" w:cstheme="majorHAnsi"/>
          <w:szCs w:val="22"/>
        </w:rPr>
      </w:pPr>
      <w:r w:rsidRPr="00443C6F">
        <w:rPr>
          <w:rFonts w:asciiTheme="majorHAnsi" w:hAnsiTheme="majorHAnsi" w:cstheme="majorHAnsi"/>
          <w:szCs w:val="22"/>
        </w:rPr>
        <w:t>Réticence au niveau des partenaires à fournir les informations sollicitées.</w:t>
      </w:r>
    </w:p>
    <w:p w14:paraId="3D831BBB" w14:textId="4BEE467E" w:rsidR="00950E25" w:rsidRPr="00443C6F" w:rsidRDefault="00950E25" w:rsidP="00636B9A">
      <w:pPr>
        <w:rPr>
          <w:rFonts w:asciiTheme="majorHAnsi" w:hAnsiTheme="majorHAnsi" w:cstheme="majorHAnsi"/>
          <w:szCs w:val="22"/>
        </w:rPr>
      </w:pPr>
    </w:p>
    <w:p w14:paraId="0F131FBA" w14:textId="279E3B47" w:rsidR="00950E25" w:rsidRPr="00443C6F" w:rsidRDefault="00950E25" w:rsidP="00636B9A">
      <w:pPr>
        <w:rPr>
          <w:rFonts w:asciiTheme="majorHAnsi" w:hAnsiTheme="majorHAnsi" w:cstheme="majorHAnsi"/>
          <w:szCs w:val="22"/>
        </w:rPr>
      </w:pPr>
      <w:r w:rsidRPr="00443C6F">
        <w:rPr>
          <w:rFonts w:asciiTheme="majorHAnsi" w:hAnsiTheme="majorHAnsi" w:cstheme="majorHAnsi"/>
          <w:szCs w:val="22"/>
        </w:rPr>
        <w:t>Mesures d’</w:t>
      </w:r>
      <w:r w:rsidR="005E0EB2" w:rsidRPr="00443C6F">
        <w:rPr>
          <w:rFonts w:asciiTheme="majorHAnsi" w:hAnsiTheme="majorHAnsi" w:cstheme="majorHAnsi"/>
          <w:szCs w:val="22"/>
        </w:rPr>
        <w:t>atténuation</w:t>
      </w:r>
    </w:p>
    <w:p w14:paraId="498E657C" w14:textId="7994D661" w:rsidR="00950E25" w:rsidRPr="00443C6F" w:rsidRDefault="00950E25" w:rsidP="00636B9A">
      <w:pPr>
        <w:rPr>
          <w:rFonts w:asciiTheme="majorHAnsi" w:hAnsiTheme="majorHAnsi" w:cstheme="majorHAnsi"/>
          <w:szCs w:val="22"/>
        </w:rPr>
      </w:pPr>
      <w:r w:rsidRPr="00443C6F">
        <w:rPr>
          <w:rFonts w:asciiTheme="majorHAnsi" w:hAnsiTheme="majorHAnsi" w:cstheme="majorHAnsi"/>
          <w:szCs w:val="22"/>
        </w:rPr>
        <w:t xml:space="preserve">L’UNICEF conduit des </w:t>
      </w:r>
      <w:r w:rsidR="005E0EB2" w:rsidRPr="00443C6F">
        <w:rPr>
          <w:rFonts w:asciiTheme="majorHAnsi" w:hAnsiTheme="majorHAnsi" w:cstheme="majorHAnsi"/>
          <w:szCs w:val="22"/>
        </w:rPr>
        <w:t>évaluations</w:t>
      </w:r>
      <w:r w:rsidRPr="00443C6F">
        <w:rPr>
          <w:rFonts w:asciiTheme="majorHAnsi" w:hAnsiTheme="majorHAnsi" w:cstheme="majorHAnsi"/>
          <w:szCs w:val="22"/>
        </w:rPr>
        <w:t xml:space="preserve"> de la situation qui permettent d’anticiper </w:t>
      </w:r>
      <w:r w:rsidR="005E0EB2" w:rsidRPr="00443C6F">
        <w:rPr>
          <w:rFonts w:asciiTheme="majorHAnsi" w:hAnsiTheme="majorHAnsi" w:cstheme="majorHAnsi"/>
          <w:szCs w:val="22"/>
        </w:rPr>
        <w:t>sur d’éventuels blocages.</w:t>
      </w:r>
    </w:p>
    <w:p w14:paraId="717F25A2" w14:textId="027D10F6" w:rsidR="005E0EB2" w:rsidRPr="00443C6F" w:rsidRDefault="005E0EB2" w:rsidP="00636B9A">
      <w:pPr>
        <w:rPr>
          <w:rFonts w:asciiTheme="majorHAnsi" w:hAnsiTheme="majorHAnsi" w:cstheme="majorHAnsi"/>
          <w:szCs w:val="22"/>
        </w:rPr>
      </w:pPr>
      <w:r w:rsidRPr="00443C6F">
        <w:rPr>
          <w:rFonts w:asciiTheme="majorHAnsi" w:hAnsiTheme="majorHAnsi" w:cstheme="majorHAnsi"/>
          <w:szCs w:val="22"/>
        </w:rPr>
        <w:t xml:space="preserve">Les TDR seront partagés avec l’ensemble des partenaires du secteur et au sein du GSE pour sensibiliser les partenaires et faciliter le travail du consultant. </w:t>
      </w:r>
    </w:p>
    <w:p w14:paraId="5D858686" w14:textId="77777777" w:rsidR="00636B9A" w:rsidRPr="00443C6F" w:rsidRDefault="00636B9A" w:rsidP="00636B9A">
      <w:pPr>
        <w:spacing w:line="240" w:lineRule="auto"/>
        <w:rPr>
          <w:rFonts w:asciiTheme="majorHAnsi" w:eastAsia="MS Mincho" w:hAnsiTheme="majorHAnsi" w:cstheme="majorHAnsi"/>
          <w:i/>
          <w:szCs w:val="22"/>
          <w:lang w:val="fr-FR"/>
        </w:rPr>
      </w:pPr>
    </w:p>
    <w:p w14:paraId="6686A9A1" w14:textId="77777777" w:rsidR="004502B2" w:rsidRPr="00443C6F" w:rsidRDefault="004502B2" w:rsidP="005A5722">
      <w:pPr>
        <w:shd w:val="clear" w:color="auto" w:fill="D9D9D9"/>
        <w:rPr>
          <w:rFonts w:asciiTheme="majorHAnsi" w:hAnsiTheme="majorHAnsi" w:cstheme="majorHAnsi"/>
          <w:b/>
          <w:szCs w:val="22"/>
          <w:lang w:val="fr-FR"/>
        </w:rPr>
      </w:pPr>
      <w:r w:rsidRPr="00443C6F">
        <w:rPr>
          <w:rFonts w:asciiTheme="majorHAnsi" w:hAnsiTheme="majorHAnsi" w:cstheme="majorHAnsi"/>
          <w:b/>
          <w:szCs w:val="22"/>
          <w:lang w:val="fr-FR"/>
        </w:rPr>
        <w:t>How to Apply</w:t>
      </w:r>
    </w:p>
    <w:p w14:paraId="5726755B" w14:textId="77777777" w:rsidR="005A5722" w:rsidRPr="00443C6F" w:rsidRDefault="005A5722" w:rsidP="005A5722">
      <w:pPr>
        <w:shd w:val="clear" w:color="auto" w:fill="D9D9D9"/>
        <w:rPr>
          <w:rFonts w:asciiTheme="majorHAnsi" w:hAnsiTheme="majorHAnsi" w:cstheme="majorHAnsi"/>
          <w:b/>
          <w:szCs w:val="22"/>
          <w:lang w:val="fr-FR"/>
        </w:rPr>
      </w:pPr>
    </w:p>
    <w:p w14:paraId="7971052A" w14:textId="77777777" w:rsidR="00474254" w:rsidRPr="00443C6F" w:rsidRDefault="00474254" w:rsidP="004502B2">
      <w:pPr>
        <w:rPr>
          <w:rFonts w:asciiTheme="majorHAnsi" w:eastAsia="Times New Roman" w:hAnsiTheme="majorHAnsi" w:cstheme="majorHAnsi"/>
          <w:szCs w:val="22"/>
          <w:lang w:val="fr-FR"/>
        </w:rPr>
      </w:pPr>
    </w:p>
    <w:p w14:paraId="37897AF6" w14:textId="3D434E63" w:rsidR="00F31256" w:rsidRPr="00C82D0A" w:rsidRDefault="003A11B4" w:rsidP="003A11B4">
      <w:pPr>
        <w:rPr>
          <w:rFonts w:asciiTheme="majorHAnsi" w:hAnsiTheme="majorHAnsi" w:cstheme="majorHAnsi"/>
          <w:lang w:val="fr-FR"/>
        </w:rPr>
      </w:pPr>
      <w:r w:rsidRPr="003A11B4">
        <w:rPr>
          <w:rFonts w:asciiTheme="majorHAnsi" w:hAnsiTheme="majorHAnsi" w:cstheme="majorHAnsi"/>
          <w:lang w:val="fr-FR"/>
        </w:rPr>
        <w:t>Les candidats qualifiés sont invités à soumettre en ligne (site Internet de l'UNICEF) une lettre de motivation, un CV actualise avec les noms et contacts de 3 personnes de référence, des copies des diplômes universitaires les plus élevés, un exemplaire des travaux antérieurs réalisés en lien avec cette consultance, une proposition technique et financière avec tous les frais inclus et un formulaire P11 signé téléchargeable sur le site de publication. Les applications incomplètes ne seront pas considérées.</w:t>
      </w:r>
      <w:bookmarkStart w:id="0" w:name="_GoBack"/>
      <w:bookmarkEnd w:id="0"/>
    </w:p>
    <w:sectPr w:rsidR="00F31256" w:rsidRPr="00C82D0A" w:rsidSect="00E77329">
      <w:footerReference w:type="default" r:id="rId10"/>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3B623" w14:textId="77777777" w:rsidR="00256114" w:rsidRDefault="00256114">
      <w:r>
        <w:separator/>
      </w:r>
    </w:p>
  </w:endnote>
  <w:endnote w:type="continuationSeparator" w:id="0">
    <w:p w14:paraId="3D12FDC8" w14:textId="77777777" w:rsidR="00256114" w:rsidRDefault="0025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88109"/>
      <w:docPartObj>
        <w:docPartGallery w:val="Page Numbers (Bottom of Page)"/>
        <w:docPartUnique/>
      </w:docPartObj>
    </w:sdtPr>
    <w:sdtEndPr>
      <w:rPr>
        <w:noProof/>
      </w:rPr>
    </w:sdtEndPr>
    <w:sdtContent>
      <w:p w14:paraId="1ADD7311" w14:textId="146D561E" w:rsidR="002D424E" w:rsidRDefault="002D424E">
        <w:pPr>
          <w:pStyle w:val="Footer"/>
          <w:jc w:val="center"/>
        </w:pPr>
        <w:r>
          <w:fldChar w:fldCharType="begin"/>
        </w:r>
        <w:r>
          <w:instrText xml:space="preserve"> PAGE   \* MERGEFORMAT </w:instrText>
        </w:r>
        <w:r>
          <w:fldChar w:fldCharType="separate"/>
        </w:r>
        <w:r w:rsidR="00443C6F">
          <w:rPr>
            <w:noProof/>
          </w:rPr>
          <w:t>1</w:t>
        </w:r>
        <w:r>
          <w:rPr>
            <w:noProof/>
          </w:rPr>
          <w:fldChar w:fldCharType="end"/>
        </w:r>
      </w:p>
    </w:sdtContent>
  </w:sdt>
  <w:p w14:paraId="3C941AF5" w14:textId="77777777" w:rsidR="002D424E" w:rsidRDefault="002D4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295E" w14:textId="24C5A597" w:rsidR="002D424E" w:rsidRDefault="002D424E">
    <w:pPr>
      <w:pStyle w:val="Footer"/>
      <w:jc w:val="center"/>
    </w:pPr>
    <w:r>
      <w:fldChar w:fldCharType="begin"/>
    </w:r>
    <w:r>
      <w:instrText xml:space="preserve"> PAGE   \* MERGEFORMAT </w:instrText>
    </w:r>
    <w:r>
      <w:fldChar w:fldCharType="separate"/>
    </w:r>
    <w:r w:rsidR="00443C6F">
      <w:rPr>
        <w:noProof/>
      </w:rPr>
      <w:t>1</w:t>
    </w:r>
    <w:r>
      <w:rPr>
        <w:noProof/>
      </w:rPr>
      <w:fldChar w:fldCharType="end"/>
    </w:r>
  </w:p>
  <w:p w14:paraId="77B1BBCF" w14:textId="77777777" w:rsidR="002D424E" w:rsidRDefault="002D4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32AE2" w14:textId="34726EFB" w:rsidR="00256114" w:rsidRDefault="00256114">
      <w:r>
        <w:separator/>
      </w:r>
    </w:p>
  </w:footnote>
  <w:footnote w:type="continuationSeparator" w:id="0">
    <w:p w14:paraId="2854C73E" w14:textId="77777777" w:rsidR="00256114" w:rsidRDefault="00256114">
      <w:r>
        <w:continuationSeparator/>
      </w:r>
    </w:p>
  </w:footnote>
  <w:footnote w:id="1">
    <w:p w14:paraId="7D2FF939" w14:textId="77777777" w:rsidR="00BD1AC2" w:rsidRPr="00BD1AC2" w:rsidRDefault="00BD1AC2" w:rsidP="00BD1AC2">
      <w:pPr>
        <w:pStyle w:val="FootnoteText"/>
        <w:jc w:val="both"/>
        <w:rPr>
          <w:color w:val="000000" w:themeColor="text1"/>
          <w:sz w:val="18"/>
          <w:szCs w:val="18"/>
          <w:lang w:val="fr-FR"/>
        </w:rPr>
      </w:pPr>
      <w:r w:rsidRPr="006257A7">
        <w:rPr>
          <w:rStyle w:val="FootnoteReference"/>
          <w:color w:val="000000" w:themeColor="text1"/>
          <w:sz w:val="18"/>
          <w:szCs w:val="18"/>
        </w:rPr>
        <w:footnoteRef/>
      </w:r>
      <w:r w:rsidRPr="00BD1AC2">
        <w:rPr>
          <w:color w:val="000000" w:themeColor="text1"/>
          <w:sz w:val="18"/>
          <w:szCs w:val="18"/>
          <w:lang w:val="fr-FR"/>
        </w:rPr>
        <w:t xml:space="preserve"> PSDEF 2012-2020, p. 25</w:t>
      </w:r>
    </w:p>
  </w:footnote>
  <w:footnote w:id="2">
    <w:p w14:paraId="3478ED7A" w14:textId="77777777" w:rsidR="00BD1AC2" w:rsidRPr="00BD1AC2" w:rsidRDefault="00BD1AC2" w:rsidP="00BD1AC2">
      <w:pPr>
        <w:pStyle w:val="FootnoteText"/>
        <w:rPr>
          <w:lang w:val="fr-FR"/>
        </w:rPr>
      </w:pPr>
      <w:r>
        <w:rPr>
          <w:rStyle w:val="FootnoteReference"/>
        </w:rPr>
        <w:footnoteRef/>
      </w:r>
      <w:r w:rsidRPr="00BD1AC2">
        <w:rPr>
          <w:lang w:val="fr-FR"/>
        </w:rPr>
        <w:t xml:space="preserve"> Document de programme ‘’</w:t>
      </w:r>
      <w:proofErr w:type="spellStart"/>
      <w:r w:rsidRPr="00BD1AC2">
        <w:rPr>
          <w:lang w:val="fr-FR"/>
        </w:rPr>
        <w:t>Twige</w:t>
      </w:r>
      <w:proofErr w:type="spellEnd"/>
      <w:r w:rsidRPr="00BD1AC2">
        <w:rPr>
          <w:lang w:val="fr-FR"/>
        </w:rPr>
        <w:t xml:space="preserve"> </w:t>
      </w:r>
      <w:proofErr w:type="spellStart"/>
      <w:r w:rsidRPr="00BD1AC2">
        <w:rPr>
          <w:lang w:val="fr-FR"/>
        </w:rPr>
        <w:t>Neza</w:t>
      </w:r>
      <w:proofErr w:type="spellEnd"/>
      <w:r w:rsidRPr="00BD1AC2">
        <w:rPr>
          <w:lang w:val="fr-FR"/>
        </w:rPr>
        <w:t>’’ p.5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83B0" w14:textId="25C47585" w:rsidR="002D424E" w:rsidRDefault="00C82D0A">
    <w:r>
      <w:rPr>
        <w:noProof/>
        <w:lang w:val="en-US" w:eastAsia="en-US"/>
      </w:rPr>
      <w:drawing>
        <wp:anchor distT="0" distB="0" distL="114300" distR="114300" simplePos="0" relativeHeight="251659264" behindDoc="0" locked="0" layoutInCell="1" allowOverlap="1" wp14:anchorId="73963039" wp14:editId="4B41BDD7">
          <wp:simplePos x="0" y="0"/>
          <wp:positionH relativeFrom="margin">
            <wp:posOffset>-219075</wp:posOffset>
          </wp:positionH>
          <wp:positionV relativeFrom="paragraph">
            <wp:posOffset>-184785</wp:posOffset>
          </wp:positionV>
          <wp:extent cx="2898140" cy="455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814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24E" w:rsidRPr="0020242E">
      <w:rPr>
        <w:noProof/>
        <w:lang w:val="en-US" w:eastAsia="en-US"/>
      </w:rPr>
      <w:drawing>
        <wp:inline distT="0" distB="0" distL="0" distR="0" wp14:anchorId="70C04679" wp14:editId="23FC0877">
          <wp:extent cx="5943600" cy="334010"/>
          <wp:effectExtent l="0" t="0" r="0" b="8890"/>
          <wp:docPr id="4" name="Picture 4"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334010"/>
                  </a:xfrm>
                  <a:prstGeom prst="rect">
                    <a:avLst/>
                  </a:prstGeom>
                  <a:noFill/>
                  <a:ln>
                    <a:noFill/>
                  </a:ln>
                </pic:spPr>
              </pic:pic>
            </a:graphicData>
          </a:graphic>
        </wp:inline>
      </w:drawing>
    </w:r>
    <w:r w:rsidR="002D424E">
      <w:t xml:space="preserve">                                       </w:t>
    </w:r>
  </w:p>
  <w:p w14:paraId="516DA8C4" w14:textId="1AADCD97" w:rsidR="002D424E" w:rsidRDefault="002D424E"/>
  <w:p w14:paraId="76F03906" w14:textId="060B5B7A" w:rsidR="002D424E" w:rsidRDefault="002D424E"/>
  <w:p w14:paraId="78C88281" w14:textId="3944F6FF" w:rsidR="002D424E" w:rsidRDefault="002D42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E2F"/>
    <w:multiLevelType w:val="hybridMultilevel"/>
    <w:tmpl w:val="15942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818C8"/>
    <w:multiLevelType w:val="hybridMultilevel"/>
    <w:tmpl w:val="E5C8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0174"/>
    <w:multiLevelType w:val="hybridMultilevel"/>
    <w:tmpl w:val="DEB44B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487846"/>
    <w:multiLevelType w:val="hybridMultilevel"/>
    <w:tmpl w:val="CF28CC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075FBC"/>
    <w:multiLevelType w:val="multilevel"/>
    <w:tmpl w:val="B254F2F4"/>
    <w:lvl w:ilvl="0">
      <w:start w:val="1"/>
      <w:numFmt w:val="upperRoman"/>
      <w:lvlText w:val="%1."/>
      <w:lvlJc w:val="righ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5" w15:restartNumberingAfterBreak="0">
    <w:nsid w:val="1BB06E81"/>
    <w:multiLevelType w:val="hybridMultilevel"/>
    <w:tmpl w:val="4FA86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A37896"/>
    <w:multiLevelType w:val="hybridMultilevel"/>
    <w:tmpl w:val="D4D458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E2A37"/>
    <w:multiLevelType w:val="hybridMultilevel"/>
    <w:tmpl w:val="91DE6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AB683A"/>
    <w:multiLevelType w:val="hybridMultilevel"/>
    <w:tmpl w:val="557E12EC"/>
    <w:lvl w:ilvl="0" w:tplc="7A6C19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544BC"/>
    <w:multiLevelType w:val="hybridMultilevel"/>
    <w:tmpl w:val="D44AB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E418E"/>
    <w:multiLevelType w:val="hybridMultilevel"/>
    <w:tmpl w:val="3B0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892CE1"/>
    <w:multiLevelType w:val="hybridMultilevel"/>
    <w:tmpl w:val="E30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648DD"/>
    <w:multiLevelType w:val="hybridMultilevel"/>
    <w:tmpl w:val="254A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4D7522"/>
    <w:multiLevelType w:val="hybridMultilevel"/>
    <w:tmpl w:val="D44AB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B237D"/>
    <w:multiLevelType w:val="hybridMultilevel"/>
    <w:tmpl w:val="9B3260A0"/>
    <w:lvl w:ilvl="0" w:tplc="3BAEE1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96875"/>
    <w:multiLevelType w:val="hybridMultilevel"/>
    <w:tmpl w:val="4704CE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EC4D9A"/>
    <w:multiLevelType w:val="hybridMultilevel"/>
    <w:tmpl w:val="D0B40188"/>
    <w:lvl w:ilvl="0" w:tplc="DF42A3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61FF4"/>
    <w:multiLevelType w:val="hybridMultilevel"/>
    <w:tmpl w:val="F970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42D2C"/>
    <w:multiLevelType w:val="hybridMultilevel"/>
    <w:tmpl w:val="7A72FCBA"/>
    <w:lvl w:ilvl="0" w:tplc="19925912">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D0611"/>
    <w:multiLevelType w:val="hybridMultilevel"/>
    <w:tmpl w:val="1D6866E2"/>
    <w:lvl w:ilvl="0" w:tplc="18C455C0">
      <w:start w:val="23"/>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D157E"/>
    <w:multiLevelType w:val="hybridMultilevel"/>
    <w:tmpl w:val="7310992E"/>
    <w:lvl w:ilvl="0" w:tplc="6B24A7A2">
      <w:start w:val="5"/>
      <w:numFmt w:val="bullet"/>
      <w:lvlText w:val="-"/>
      <w:lvlJc w:val="left"/>
      <w:pPr>
        <w:ind w:left="420" w:hanging="360"/>
      </w:pPr>
      <w:rPr>
        <w:rFonts w:ascii="Calibri" w:eastAsia="Times"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2"/>
  </w:num>
  <w:num w:numId="2">
    <w:abstractNumId w:val="16"/>
  </w:num>
  <w:num w:numId="3">
    <w:abstractNumId w:val="1"/>
  </w:num>
  <w:num w:numId="4">
    <w:abstractNumId w:val="10"/>
  </w:num>
  <w:num w:numId="5">
    <w:abstractNumId w:val="11"/>
  </w:num>
  <w:num w:numId="6">
    <w:abstractNumId w:val="3"/>
  </w:num>
  <w:num w:numId="7">
    <w:abstractNumId w:val="15"/>
  </w:num>
  <w:num w:numId="8">
    <w:abstractNumId w:val="6"/>
  </w:num>
  <w:num w:numId="9">
    <w:abstractNumId w:val="8"/>
  </w:num>
  <w:num w:numId="10">
    <w:abstractNumId w:val="21"/>
  </w:num>
  <w:num w:numId="11">
    <w:abstractNumId w:val="0"/>
  </w:num>
  <w:num w:numId="12">
    <w:abstractNumId w:val="19"/>
  </w:num>
  <w:num w:numId="13">
    <w:abstractNumId w:val="17"/>
  </w:num>
  <w:num w:numId="14">
    <w:abstractNumId w:val="5"/>
  </w:num>
  <w:num w:numId="15">
    <w:abstractNumId w:val="7"/>
  </w:num>
  <w:num w:numId="16">
    <w:abstractNumId w:val="13"/>
  </w:num>
  <w:num w:numId="17">
    <w:abstractNumId w:val="14"/>
  </w:num>
  <w:num w:numId="18">
    <w:abstractNumId w:val="4"/>
  </w:num>
  <w:num w:numId="19">
    <w:abstractNumId w:val="18"/>
  </w:num>
  <w:num w:numId="20">
    <w:abstractNumId w:val="20"/>
  </w:num>
  <w:num w:numId="21">
    <w:abstractNumId w:val="2"/>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194">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115F3"/>
    <w:rsid w:val="0001608F"/>
    <w:rsid w:val="00016DCE"/>
    <w:rsid w:val="0002495A"/>
    <w:rsid w:val="000312C9"/>
    <w:rsid w:val="00041096"/>
    <w:rsid w:val="00047013"/>
    <w:rsid w:val="00050DBA"/>
    <w:rsid w:val="0005105B"/>
    <w:rsid w:val="00053311"/>
    <w:rsid w:val="00065956"/>
    <w:rsid w:val="00067AB6"/>
    <w:rsid w:val="00074464"/>
    <w:rsid w:val="000753C0"/>
    <w:rsid w:val="0009097F"/>
    <w:rsid w:val="00096B38"/>
    <w:rsid w:val="000A2E52"/>
    <w:rsid w:val="000B02BF"/>
    <w:rsid w:val="000B126D"/>
    <w:rsid w:val="000C28F8"/>
    <w:rsid w:val="000C7865"/>
    <w:rsid w:val="000D4355"/>
    <w:rsid w:val="000D7327"/>
    <w:rsid w:val="000E1A73"/>
    <w:rsid w:val="000E4CFF"/>
    <w:rsid w:val="000E4E80"/>
    <w:rsid w:val="000E535D"/>
    <w:rsid w:val="000F0AE3"/>
    <w:rsid w:val="000F2D0E"/>
    <w:rsid w:val="001045E3"/>
    <w:rsid w:val="001050C1"/>
    <w:rsid w:val="00105592"/>
    <w:rsid w:val="001123A3"/>
    <w:rsid w:val="00114C08"/>
    <w:rsid w:val="00117604"/>
    <w:rsid w:val="0012182B"/>
    <w:rsid w:val="001264C8"/>
    <w:rsid w:val="00127E93"/>
    <w:rsid w:val="0013153C"/>
    <w:rsid w:val="00132DF4"/>
    <w:rsid w:val="00136450"/>
    <w:rsid w:val="00146E06"/>
    <w:rsid w:val="00171AA3"/>
    <w:rsid w:val="00171C6E"/>
    <w:rsid w:val="00175311"/>
    <w:rsid w:val="001767E9"/>
    <w:rsid w:val="00176C86"/>
    <w:rsid w:val="00180B12"/>
    <w:rsid w:val="00185A2A"/>
    <w:rsid w:val="00187E4C"/>
    <w:rsid w:val="001937E7"/>
    <w:rsid w:val="00195012"/>
    <w:rsid w:val="001A0861"/>
    <w:rsid w:val="001A3AD0"/>
    <w:rsid w:val="001A47D2"/>
    <w:rsid w:val="001A6007"/>
    <w:rsid w:val="001A72B6"/>
    <w:rsid w:val="001B768D"/>
    <w:rsid w:val="001C0D4C"/>
    <w:rsid w:val="001C192A"/>
    <w:rsid w:val="001C1990"/>
    <w:rsid w:val="001C1F83"/>
    <w:rsid w:val="001D0DFD"/>
    <w:rsid w:val="001D2DC5"/>
    <w:rsid w:val="001D4C05"/>
    <w:rsid w:val="001E39E6"/>
    <w:rsid w:val="001E5C12"/>
    <w:rsid w:val="001E6978"/>
    <w:rsid w:val="001F08E0"/>
    <w:rsid w:val="001F12D9"/>
    <w:rsid w:val="001F5825"/>
    <w:rsid w:val="001F58D1"/>
    <w:rsid w:val="00202349"/>
    <w:rsid w:val="0020242E"/>
    <w:rsid w:val="00204D7C"/>
    <w:rsid w:val="00205E5C"/>
    <w:rsid w:val="00210C25"/>
    <w:rsid w:val="0021612A"/>
    <w:rsid w:val="00221335"/>
    <w:rsid w:val="00223AEA"/>
    <w:rsid w:val="0022445E"/>
    <w:rsid w:val="002262BD"/>
    <w:rsid w:val="002416DE"/>
    <w:rsid w:val="00255F1E"/>
    <w:rsid w:val="00256114"/>
    <w:rsid w:val="0026196F"/>
    <w:rsid w:val="002631AF"/>
    <w:rsid w:val="00263E25"/>
    <w:rsid w:val="00266098"/>
    <w:rsid w:val="0026679B"/>
    <w:rsid w:val="0027074A"/>
    <w:rsid w:val="002720F8"/>
    <w:rsid w:val="00284041"/>
    <w:rsid w:val="0028758A"/>
    <w:rsid w:val="0029055C"/>
    <w:rsid w:val="00290D51"/>
    <w:rsid w:val="002A098F"/>
    <w:rsid w:val="002A0BAC"/>
    <w:rsid w:val="002A4988"/>
    <w:rsid w:val="002B3F40"/>
    <w:rsid w:val="002B6728"/>
    <w:rsid w:val="002C1BAB"/>
    <w:rsid w:val="002C5EAF"/>
    <w:rsid w:val="002D1FC6"/>
    <w:rsid w:val="002D424E"/>
    <w:rsid w:val="002D5161"/>
    <w:rsid w:val="002D692E"/>
    <w:rsid w:val="002E252E"/>
    <w:rsid w:val="002E3501"/>
    <w:rsid w:val="002E5037"/>
    <w:rsid w:val="002E7349"/>
    <w:rsid w:val="002F4549"/>
    <w:rsid w:val="0030288F"/>
    <w:rsid w:val="00307685"/>
    <w:rsid w:val="00313B55"/>
    <w:rsid w:val="00316A23"/>
    <w:rsid w:val="00317E16"/>
    <w:rsid w:val="0032018B"/>
    <w:rsid w:val="0032106D"/>
    <w:rsid w:val="003235D9"/>
    <w:rsid w:val="00327949"/>
    <w:rsid w:val="00330FF3"/>
    <w:rsid w:val="00344566"/>
    <w:rsid w:val="0034486E"/>
    <w:rsid w:val="00344D4D"/>
    <w:rsid w:val="00346795"/>
    <w:rsid w:val="00353DF0"/>
    <w:rsid w:val="00356199"/>
    <w:rsid w:val="003662BA"/>
    <w:rsid w:val="00366352"/>
    <w:rsid w:val="0036659C"/>
    <w:rsid w:val="003673BC"/>
    <w:rsid w:val="00367E38"/>
    <w:rsid w:val="00374D0D"/>
    <w:rsid w:val="00376496"/>
    <w:rsid w:val="00376D6C"/>
    <w:rsid w:val="00381AB8"/>
    <w:rsid w:val="0039172F"/>
    <w:rsid w:val="00395E4D"/>
    <w:rsid w:val="003A11B4"/>
    <w:rsid w:val="003A556D"/>
    <w:rsid w:val="003B1FD0"/>
    <w:rsid w:val="003B3E97"/>
    <w:rsid w:val="003B4875"/>
    <w:rsid w:val="003B6D8F"/>
    <w:rsid w:val="003B7FAA"/>
    <w:rsid w:val="003C0350"/>
    <w:rsid w:val="003C3D03"/>
    <w:rsid w:val="003C51CA"/>
    <w:rsid w:val="003D0F05"/>
    <w:rsid w:val="003D261E"/>
    <w:rsid w:val="003D638E"/>
    <w:rsid w:val="003E3299"/>
    <w:rsid w:val="003F6C82"/>
    <w:rsid w:val="003F7950"/>
    <w:rsid w:val="00401065"/>
    <w:rsid w:val="00410FB4"/>
    <w:rsid w:val="00427B8D"/>
    <w:rsid w:val="00432234"/>
    <w:rsid w:val="004370E5"/>
    <w:rsid w:val="00443C6F"/>
    <w:rsid w:val="0044597A"/>
    <w:rsid w:val="00446522"/>
    <w:rsid w:val="004466B5"/>
    <w:rsid w:val="004502B2"/>
    <w:rsid w:val="00466751"/>
    <w:rsid w:val="00470252"/>
    <w:rsid w:val="00474254"/>
    <w:rsid w:val="0048424B"/>
    <w:rsid w:val="00490F68"/>
    <w:rsid w:val="00496B26"/>
    <w:rsid w:val="004A0CE1"/>
    <w:rsid w:val="004A2DD5"/>
    <w:rsid w:val="004B6542"/>
    <w:rsid w:val="004C2C0C"/>
    <w:rsid w:val="004C49B9"/>
    <w:rsid w:val="004C6559"/>
    <w:rsid w:val="004C6B81"/>
    <w:rsid w:val="004C7EAD"/>
    <w:rsid w:val="004D0685"/>
    <w:rsid w:val="004D4C9E"/>
    <w:rsid w:val="004E6204"/>
    <w:rsid w:val="004E6541"/>
    <w:rsid w:val="004E6718"/>
    <w:rsid w:val="004F0CDD"/>
    <w:rsid w:val="004F4907"/>
    <w:rsid w:val="004F64AC"/>
    <w:rsid w:val="0050238C"/>
    <w:rsid w:val="00506B4B"/>
    <w:rsid w:val="005070BF"/>
    <w:rsid w:val="00507D15"/>
    <w:rsid w:val="00517CB5"/>
    <w:rsid w:val="00530AA0"/>
    <w:rsid w:val="00532DFE"/>
    <w:rsid w:val="005378DD"/>
    <w:rsid w:val="00537D4B"/>
    <w:rsid w:val="00540B22"/>
    <w:rsid w:val="00540EC5"/>
    <w:rsid w:val="0055776E"/>
    <w:rsid w:val="00560A4D"/>
    <w:rsid w:val="0056462B"/>
    <w:rsid w:val="0056484D"/>
    <w:rsid w:val="0056707C"/>
    <w:rsid w:val="005757D4"/>
    <w:rsid w:val="00576C80"/>
    <w:rsid w:val="005806B6"/>
    <w:rsid w:val="00587163"/>
    <w:rsid w:val="0059195A"/>
    <w:rsid w:val="005A4D62"/>
    <w:rsid w:val="005A5722"/>
    <w:rsid w:val="005B4300"/>
    <w:rsid w:val="005B598E"/>
    <w:rsid w:val="005B6289"/>
    <w:rsid w:val="005C6921"/>
    <w:rsid w:val="005C7CED"/>
    <w:rsid w:val="005D122E"/>
    <w:rsid w:val="005E0EB2"/>
    <w:rsid w:val="005E55BC"/>
    <w:rsid w:val="005E5A4C"/>
    <w:rsid w:val="005F02D4"/>
    <w:rsid w:val="006009CA"/>
    <w:rsid w:val="00603C22"/>
    <w:rsid w:val="0060428D"/>
    <w:rsid w:val="00604479"/>
    <w:rsid w:val="00606DF8"/>
    <w:rsid w:val="006202ED"/>
    <w:rsid w:val="00620DB5"/>
    <w:rsid w:val="00621B00"/>
    <w:rsid w:val="00625F83"/>
    <w:rsid w:val="00636B9A"/>
    <w:rsid w:val="00637A6C"/>
    <w:rsid w:val="006414A4"/>
    <w:rsid w:val="0064153F"/>
    <w:rsid w:val="00642371"/>
    <w:rsid w:val="006503B6"/>
    <w:rsid w:val="00654310"/>
    <w:rsid w:val="00655155"/>
    <w:rsid w:val="00655977"/>
    <w:rsid w:val="00657927"/>
    <w:rsid w:val="00660F8F"/>
    <w:rsid w:val="0066192D"/>
    <w:rsid w:val="006716EE"/>
    <w:rsid w:val="006720A9"/>
    <w:rsid w:val="006731E4"/>
    <w:rsid w:val="006740B0"/>
    <w:rsid w:val="00674466"/>
    <w:rsid w:val="006767AE"/>
    <w:rsid w:val="00683A93"/>
    <w:rsid w:val="00684AE6"/>
    <w:rsid w:val="00685207"/>
    <w:rsid w:val="006957C7"/>
    <w:rsid w:val="006A1E22"/>
    <w:rsid w:val="006A5D38"/>
    <w:rsid w:val="006B0FCB"/>
    <w:rsid w:val="006B2E42"/>
    <w:rsid w:val="006B5CA8"/>
    <w:rsid w:val="006C3EDE"/>
    <w:rsid w:val="006C626B"/>
    <w:rsid w:val="006D26F5"/>
    <w:rsid w:val="006D5A43"/>
    <w:rsid w:val="006E039E"/>
    <w:rsid w:val="006E1FD1"/>
    <w:rsid w:val="006E322A"/>
    <w:rsid w:val="006E52B7"/>
    <w:rsid w:val="006E72AD"/>
    <w:rsid w:val="006F05D6"/>
    <w:rsid w:val="006F13F2"/>
    <w:rsid w:val="00704AF8"/>
    <w:rsid w:val="00711C13"/>
    <w:rsid w:val="00712875"/>
    <w:rsid w:val="0071612B"/>
    <w:rsid w:val="00721AD0"/>
    <w:rsid w:val="007235E1"/>
    <w:rsid w:val="007237FC"/>
    <w:rsid w:val="00735D25"/>
    <w:rsid w:val="007419B1"/>
    <w:rsid w:val="00743EDE"/>
    <w:rsid w:val="00747699"/>
    <w:rsid w:val="00753282"/>
    <w:rsid w:val="00754CE2"/>
    <w:rsid w:val="0075726A"/>
    <w:rsid w:val="0076239B"/>
    <w:rsid w:val="007672B2"/>
    <w:rsid w:val="00767A0B"/>
    <w:rsid w:val="00775879"/>
    <w:rsid w:val="0079516B"/>
    <w:rsid w:val="00795799"/>
    <w:rsid w:val="007A007A"/>
    <w:rsid w:val="007A41A3"/>
    <w:rsid w:val="007B5CC3"/>
    <w:rsid w:val="007B7348"/>
    <w:rsid w:val="007B754D"/>
    <w:rsid w:val="007C0BC0"/>
    <w:rsid w:val="007E27A7"/>
    <w:rsid w:val="007E2A01"/>
    <w:rsid w:val="007E543B"/>
    <w:rsid w:val="007E620C"/>
    <w:rsid w:val="007F2C94"/>
    <w:rsid w:val="007F4CFB"/>
    <w:rsid w:val="007F5727"/>
    <w:rsid w:val="0080065E"/>
    <w:rsid w:val="00807560"/>
    <w:rsid w:val="008201B8"/>
    <w:rsid w:val="00821E2D"/>
    <w:rsid w:val="00823670"/>
    <w:rsid w:val="00824D6E"/>
    <w:rsid w:val="00831612"/>
    <w:rsid w:val="00832632"/>
    <w:rsid w:val="008359B7"/>
    <w:rsid w:val="00837878"/>
    <w:rsid w:val="00841F3F"/>
    <w:rsid w:val="008559FE"/>
    <w:rsid w:val="008567D4"/>
    <w:rsid w:val="008571FD"/>
    <w:rsid w:val="008679A7"/>
    <w:rsid w:val="00882E57"/>
    <w:rsid w:val="00885174"/>
    <w:rsid w:val="0089118E"/>
    <w:rsid w:val="00892879"/>
    <w:rsid w:val="008948B8"/>
    <w:rsid w:val="00896A58"/>
    <w:rsid w:val="00897994"/>
    <w:rsid w:val="008A17AF"/>
    <w:rsid w:val="008A1D00"/>
    <w:rsid w:val="008A4D81"/>
    <w:rsid w:val="008B76F0"/>
    <w:rsid w:val="008B791E"/>
    <w:rsid w:val="008C01E2"/>
    <w:rsid w:val="008C14B2"/>
    <w:rsid w:val="008C16D5"/>
    <w:rsid w:val="008C7236"/>
    <w:rsid w:val="008D161D"/>
    <w:rsid w:val="008D3C38"/>
    <w:rsid w:val="008D475E"/>
    <w:rsid w:val="008E6096"/>
    <w:rsid w:val="0092497D"/>
    <w:rsid w:val="00927AA6"/>
    <w:rsid w:val="00930107"/>
    <w:rsid w:val="00936343"/>
    <w:rsid w:val="00936869"/>
    <w:rsid w:val="00936F40"/>
    <w:rsid w:val="00941D6E"/>
    <w:rsid w:val="009466FA"/>
    <w:rsid w:val="00950E25"/>
    <w:rsid w:val="0095247D"/>
    <w:rsid w:val="0095271B"/>
    <w:rsid w:val="009527CE"/>
    <w:rsid w:val="00963BA1"/>
    <w:rsid w:val="00973D0C"/>
    <w:rsid w:val="00981195"/>
    <w:rsid w:val="00991E50"/>
    <w:rsid w:val="009A3B86"/>
    <w:rsid w:val="009B1318"/>
    <w:rsid w:val="009B49CB"/>
    <w:rsid w:val="009C482E"/>
    <w:rsid w:val="009C7FBF"/>
    <w:rsid w:val="009D1D43"/>
    <w:rsid w:val="009D34E8"/>
    <w:rsid w:val="009E3169"/>
    <w:rsid w:val="009E5AA6"/>
    <w:rsid w:val="009F68E4"/>
    <w:rsid w:val="00A04CC5"/>
    <w:rsid w:val="00A07B6E"/>
    <w:rsid w:val="00A10227"/>
    <w:rsid w:val="00A2339C"/>
    <w:rsid w:val="00A239FE"/>
    <w:rsid w:val="00A25AEA"/>
    <w:rsid w:val="00A27337"/>
    <w:rsid w:val="00A349AC"/>
    <w:rsid w:val="00A37016"/>
    <w:rsid w:val="00A45718"/>
    <w:rsid w:val="00A50DB3"/>
    <w:rsid w:val="00A51B3C"/>
    <w:rsid w:val="00A545C0"/>
    <w:rsid w:val="00A603DC"/>
    <w:rsid w:val="00A61068"/>
    <w:rsid w:val="00A6238C"/>
    <w:rsid w:val="00A6337F"/>
    <w:rsid w:val="00A73A01"/>
    <w:rsid w:val="00A74680"/>
    <w:rsid w:val="00A76C70"/>
    <w:rsid w:val="00A76E1F"/>
    <w:rsid w:val="00A77AAC"/>
    <w:rsid w:val="00A852FF"/>
    <w:rsid w:val="00A8581F"/>
    <w:rsid w:val="00A903E8"/>
    <w:rsid w:val="00A9117A"/>
    <w:rsid w:val="00A91545"/>
    <w:rsid w:val="00A932AD"/>
    <w:rsid w:val="00A93AD1"/>
    <w:rsid w:val="00A951A7"/>
    <w:rsid w:val="00A960B4"/>
    <w:rsid w:val="00A976FD"/>
    <w:rsid w:val="00AA079E"/>
    <w:rsid w:val="00AA562A"/>
    <w:rsid w:val="00AA5715"/>
    <w:rsid w:val="00AA69AC"/>
    <w:rsid w:val="00AB0A85"/>
    <w:rsid w:val="00AB20F1"/>
    <w:rsid w:val="00AD2ACB"/>
    <w:rsid w:val="00AE100F"/>
    <w:rsid w:val="00AE245A"/>
    <w:rsid w:val="00AF4772"/>
    <w:rsid w:val="00AF4B60"/>
    <w:rsid w:val="00B10BA6"/>
    <w:rsid w:val="00B12BD8"/>
    <w:rsid w:val="00B32479"/>
    <w:rsid w:val="00B379CB"/>
    <w:rsid w:val="00B37FA5"/>
    <w:rsid w:val="00B40682"/>
    <w:rsid w:val="00B44694"/>
    <w:rsid w:val="00B4614C"/>
    <w:rsid w:val="00B51644"/>
    <w:rsid w:val="00B61308"/>
    <w:rsid w:val="00B6146B"/>
    <w:rsid w:val="00B61F44"/>
    <w:rsid w:val="00B645C8"/>
    <w:rsid w:val="00B649F5"/>
    <w:rsid w:val="00B8606C"/>
    <w:rsid w:val="00B87D81"/>
    <w:rsid w:val="00B907BE"/>
    <w:rsid w:val="00B93202"/>
    <w:rsid w:val="00BA2C5A"/>
    <w:rsid w:val="00BA4D15"/>
    <w:rsid w:val="00BA7446"/>
    <w:rsid w:val="00BC43B4"/>
    <w:rsid w:val="00BD179D"/>
    <w:rsid w:val="00BD1AC2"/>
    <w:rsid w:val="00BD5355"/>
    <w:rsid w:val="00BD5A4D"/>
    <w:rsid w:val="00BD7386"/>
    <w:rsid w:val="00BE3DF3"/>
    <w:rsid w:val="00BE6049"/>
    <w:rsid w:val="00BE6802"/>
    <w:rsid w:val="00BE6F88"/>
    <w:rsid w:val="00C0036C"/>
    <w:rsid w:val="00C01296"/>
    <w:rsid w:val="00C21FD3"/>
    <w:rsid w:val="00C233AE"/>
    <w:rsid w:val="00C32EA7"/>
    <w:rsid w:val="00C34F8A"/>
    <w:rsid w:val="00C44CEB"/>
    <w:rsid w:val="00C57FCD"/>
    <w:rsid w:val="00C82D0A"/>
    <w:rsid w:val="00C83D91"/>
    <w:rsid w:val="00C93B67"/>
    <w:rsid w:val="00C94CBA"/>
    <w:rsid w:val="00C95C4C"/>
    <w:rsid w:val="00C97DA6"/>
    <w:rsid w:val="00CA0D1E"/>
    <w:rsid w:val="00CA11BD"/>
    <w:rsid w:val="00CA233F"/>
    <w:rsid w:val="00CB5023"/>
    <w:rsid w:val="00CC3362"/>
    <w:rsid w:val="00CC4E58"/>
    <w:rsid w:val="00CD295B"/>
    <w:rsid w:val="00CD2998"/>
    <w:rsid w:val="00CE5FE2"/>
    <w:rsid w:val="00CF66AC"/>
    <w:rsid w:val="00CF7593"/>
    <w:rsid w:val="00D010B7"/>
    <w:rsid w:val="00D02DF4"/>
    <w:rsid w:val="00D03144"/>
    <w:rsid w:val="00D1119C"/>
    <w:rsid w:val="00D136E2"/>
    <w:rsid w:val="00D14C15"/>
    <w:rsid w:val="00D16561"/>
    <w:rsid w:val="00D20CC5"/>
    <w:rsid w:val="00D24C6A"/>
    <w:rsid w:val="00D271C3"/>
    <w:rsid w:val="00D31C89"/>
    <w:rsid w:val="00D468FD"/>
    <w:rsid w:val="00D53F4B"/>
    <w:rsid w:val="00D658D2"/>
    <w:rsid w:val="00D71307"/>
    <w:rsid w:val="00D74649"/>
    <w:rsid w:val="00D75510"/>
    <w:rsid w:val="00D75540"/>
    <w:rsid w:val="00D76E59"/>
    <w:rsid w:val="00D80350"/>
    <w:rsid w:val="00D951C6"/>
    <w:rsid w:val="00DA0BD9"/>
    <w:rsid w:val="00DA7D64"/>
    <w:rsid w:val="00DB3EC1"/>
    <w:rsid w:val="00DB7937"/>
    <w:rsid w:val="00DC465C"/>
    <w:rsid w:val="00DC72F7"/>
    <w:rsid w:val="00DC7A9E"/>
    <w:rsid w:val="00DD0FF4"/>
    <w:rsid w:val="00DF7AFF"/>
    <w:rsid w:val="00E02B0F"/>
    <w:rsid w:val="00E11268"/>
    <w:rsid w:val="00E2319A"/>
    <w:rsid w:val="00E25506"/>
    <w:rsid w:val="00E275EC"/>
    <w:rsid w:val="00E27F0A"/>
    <w:rsid w:val="00E3754D"/>
    <w:rsid w:val="00E45FDB"/>
    <w:rsid w:val="00E4658C"/>
    <w:rsid w:val="00E55325"/>
    <w:rsid w:val="00E56BFA"/>
    <w:rsid w:val="00E6079D"/>
    <w:rsid w:val="00E60F25"/>
    <w:rsid w:val="00E675DC"/>
    <w:rsid w:val="00E711CD"/>
    <w:rsid w:val="00E72057"/>
    <w:rsid w:val="00E720AE"/>
    <w:rsid w:val="00E72E46"/>
    <w:rsid w:val="00E73A7D"/>
    <w:rsid w:val="00E75722"/>
    <w:rsid w:val="00E77329"/>
    <w:rsid w:val="00E82424"/>
    <w:rsid w:val="00E85C6F"/>
    <w:rsid w:val="00E86C8B"/>
    <w:rsid w:val="00E91602"/>
    <w:rsid w:val="00E91A3C"/>
    <w:rsid w:val="00E95A2D"/>
    <w:rsid w:val="00E96684"/>
    <w:rsid w:val="00EB01DE"/>
    <w:rsid w:val="00EB061E"/>
    <w:rsid w:val="00EB6FCC"/>
    <w:rsid w:val="00EB79F5"/>
    <w:rsid w:val="00EC6999"/>
    <w:rsid w:val="00ED3AFB"/>
    <w:rsid w:val="00EE5439"/>
    <w:rsid w:val="00F010D1"/>
    <w:rsid w:val="00F05F77"/>
    <w:rsid w:val="00F126C2"/>
    <w:rsid w:val="00F12EEB"/>
    <w:rsid w:val="00F20ADF"/>
    <w:rsid w:val="00F221D7"/>
    <w:rsid w:val="00F25181"/>
    <w:rsid w:val="00F31256"/>
    <w:rsid w:val="00F37480"/>
    <w:rsid w:val="00F4390A"/>
    <w:rsid w:val="00F44B03"/>
    <w:rsid w:val="00F51BBB"/>
    <w:rsid w:val="00F64892"/>
    <w:rsid w:val="00F86769"/>
    <w:rsid w:val="00F92363"/>
    <w:rsid w:val="00F93ABF"/>
    <w:rsid w:val="00F946A4"/>
    <w:rsid w:val="00FA0E7D"/>
    <w:rsid w:val="00FB0357"/>
    <w:rsid w:val="00FB054C"/>
    <w:rsid w:val="00FB41FE"/>
    <w:rsid w:val="00FB5026"/>
    <w:rsid w:val="00FB53BD"/>
    <w:rsid w:val="00FB5841"/>
    <w:rsid w:val="00FB6666"/>
    <w:rsid w:val="00FB70B8"/>
    <w:rsid w:val="00FB7A6E"/>
    <w:rsid w:val="00FC1F7B"/>
    <w:rsid w:val="00FC209A"/>
    <w:rsid w:val="00FD21F1"/>
    <w:rsid w:val="00FD3A54"/>
    <w:rsid w:val="00FD6D9E"/>
    <w:rsid w:val="00FE15B2"/>
    <w:rsid w:val="00FE4AE7"/>
    <w:rsid w:val="00FF3418"/>
    <w:rsid w:val="00FF5194"/>
    <w:rsid w:val="00FF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0099fe,aqua"/>
    </o:shapedefaults>
    <o:shapelayout v:ext="edit">
      <o:idmap v:ext="edit" data="1"/>
    </o:shapelayout>
  </w:shapeDefaults>
  <w:decimalSymbol w:val="."/>
  <w:listSeparator w:val=","/>
  <w14:docId w14:val="030064EC"/>
  <w15:chartTrackingRefBased/>
  <w15:docId w15:val="{29EC0C64-4E81-4D60-9111-6DFE3D8C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basedOn w:val="Normal"/>
    <w:link w:val="ListParagraphChar"/>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aliases w:val="Footnote Text1,single space,Fodnotetekst Tegn,footnote text Char,Fodnotetekst Tegn Char,single space Char,footnote text Char Char Char,Fodnotetekst Tegn Char1,single space Char1,footnote text Char Char1,FOOTNOTES,fn,fn Char1,f,ft,ADB"/>
    <w:basedOn w:val="Normal"/>
    <w:link w:val="FootnoteTextChar"/>
    <w:qFormat/>
    <w:rsid w:val="00683A93"/>
    <w:pPr>
      <w:spacing w:line="240" w:lineRule="auto"/>
    </w:pPr>
    <w:rPr>
      <w:rFonts w:eastAsia="Times New Roman"/>
      <w:color w:val="auto"/>
      <w:sz w:val="20"/>
      <w:lang w:val="en-AU" w:eastAsia="en-US"/>
    </w:rPr>
  </w:style>
  <w:style w:type="character" w:customStyle="1" w:styleId="FootnoteTextChar">
    <w:name w:val="Footnote Text Char"/>
    <w:aliases w:val="Footnote Text1 Char,single space Char2,Fodnotetekst Tegn Char2,footnote text Char Char,Fodnotetekst Tegn Char Char,single space Char Char,footnote text Char Char Char Char,Fodnotetekst Tegn Char1 Char,single space Char1 Char,fn Char"/>
    <w:link w:val="FootnoteText"/>
    <w:rsid w:val="00683A93"/>
    <w:rPr>
      <w:rFonts w:ascii="Times New Roman" w:eastAsia="Times New Roman" w:hAnsi="Times New Roman"/>
      <w:lang w:val="en-AU"/>
    </w:rPr>
  </w:style>
  <w:style w:type="character" w:styleId="FootnoteReference">
    <w:name w:val="footnote reference"/>
    <w:aliases w:val="ftref,16 Point,Superscript 6 Point,Car Car Char Car Char Car Car Char Car Char Char,Car Car Car Car Car Car Car Car Char Car Car Char Car Car Car Char Car Char Char Char,BVI fnr,Ref,de nota al pie,note de bas de page,SUPERS,fr,S"/>
    <w:link w:val="BVIfnrChar"/>
    <w:qFormat/>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ListParagraphChar">
    <w:name w:val="List Paragraph Char"/>
    <w:basedOn w:val="DefaultParagraphFont"/>
    <w:link w:val="ListParagraph"/>
    <w:uiPriority w:val="34"/>
    <w:rsid w:val="00DC72F7"/>
    <w:rPr>
      <w:rFonts w:ascii="Times New Roman" w:eastAsia="Times New Roman" w:hAnsi="Times New Roman"/>
      <w:sz w:val="24"/>
      <w:szCs w:val="24"/>
      <w:lang w:val="pt-PT" w:eastAsia="en-US"/>
    </w:rPr>
  </w:style>
  <w:style w:type="character" w:customStyle="1" w:styleId="HeaderChar">
    <w:name w:val="Header Char"/>
    <w:basedOn w:val="DefaultParagraphFont"/>
    <w:link w:val="Header"/>
    <w:rsid w:val="001937E7"/>
    <w:rPr>
      <w:rFonts w:ascii="Times New Roman" w:hAnsi="Times New Roman"/>
      <w:color w:val="000000"/>
      <w:sz w:val="22"/>
      <w:lang w:val="pt-PT"/>
    </w:rPr>
  </w:style>
  <w:style w:type="paragraph" w:customStyle="1" w:styleId="BVIfnrChar">
    <w:name w:val="BVI fnr Char"/>
    <w:aliases w:val="BVI fnr Car Car Char,BVI fnr Car Char,BVI fnr Car Car Car Car Char1,BVI fnr Car Car Car Car Char Car Char Char"/>
    <w:basedOn w:val="Normal"/>
    <w:link w:val="FootnoteReference"/>
    <w:rsid w:val="00BD1AC2"/>
    <w:pPr>
      <w:spacing w:after="160" w:line="240" w:lineRule="exact"/>
    </w:pPr>
    <w:rPr>
      <w:rFonts w:ascii="Times" w:hAnsi="Times"/>
      <w:color w:val="auto"/>
      <w:sz w:val="20"/>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382253">
      <w:bodyDiv w:val="1"/>
      <w:marLeft w:val="0"/>
      <w:marRight w:val="0"/>
      <w:marTop w:val="0"/>
      <w:marBottom w:val="0"/>
      <w:divBdr>
        <w:top w:val="none" w:sz="0" w:space="0" w:color="auto"/>
        <w:left w:val="none" w:sz="0" w:space="0" w:color="auto"/>
        <w:bottom w:val="none" w:sz="0" w:space="0" w:color="auto"/>
        <w:right w:val="none" w:sz="0" w:space="0" w:color="auto"/>
      </w:divBdr>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57445-504A-4B0C-A6B4-5A740FD4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14306</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dc:description/>
  <cp:lastModifiedBy>Sandra Ndayikeze</cp:lastModifiedBy>
  <cp:revision>2</cp:revision>
  <cp:lastPrinted>2020-02-24T10:09:00Z</cp:lastPrinted>
  <dcterms:created xsi:type="dcterms:W3CDTF">2020-02-27T06:08:00Z</dcterms:created>
  <dcterms:modified xsi:type="dcterms:W3CDTF">2020-02-27T06:08:00Z</dcterms:modified>
</cp:coreProperties>
</file>