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4E62" w14:textId="77777777" w:rsidR="00CD4B6A" w:rsidRPr="00574342" w:rsidRDefault="00CD4B6A" w:rsidP="0051393C">
      <w:pPr>
        <w:spacing w:before="120"/>
        <w:rPr>
          <w:rFonts w:asciiTheme="majorHAnsi" w:eastAsia="Arial Unicode MS" w:hAnsiTheme="majorHAnsi" w:cs="Gill Sans"/>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8"/>
        <w:gridCol w:w="792"/>
        <w:gridCol w:w="90"/>
        <w:gridCol w:w="1050"/>
        <w:gridCol w:w="547"/>
        <w:gridCol w:w="23"/>
        <w:gridCol w:w="990"/>
        <w:gridCol w:w="18"/>
        <w:gridCol w:w="612"/>
        <w:gridCol w:w="360"/>
        <w:gridCol w:w="990"/>
        <w:gridCol w:w="30"/>
        <w:gridCol w:w="132"/>
        <w:gridCol w:w="918"/>
        <w:gridCol w:w="801"/>
        <w:gridCol w:w="1719"/>
      </w:tblGrid>
      <w:tr w:rsidR="00AF11D8" w:rsidRPr="00574342" w14:paraId="0DBD4E67" w14:textId="77777777" w:rsidTr="00A26DEC">
        <w:tc>
          <w:tcPr>
            <w:tcW w:w="2520" w:type="dxa"/>
            <w:gridSpan w:val="3"/>
            <w:tcBorders>
              <w:bottom w:val="nil"/>
            </w:tcBorders>
            <w:shd w:val="clear" w:color="auto" w:fill="auto"/>
            <w:noWrap/>
            <w:hideMark/>
          </w:tcPr>
          <w:p w14:paraId="0DBD4E63" w14:textId="77777777" w:rsidR="00AF11D8" w:rsidRPr="00574342"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Project Reference</w:t>
            </w:r>
          </w:p>
        </w:tc>
        <w:tc>
          <w:tcPr>
            <w:tcW w:w="2610" w:type="dxa"/>
            <w:gridSpan w:val="4"/>
            <w:tcBorders>
              <w:bottom w:val="nil"/>
            </w:tcBorders>
            <w:shd w:val="clear" w:color="auto" w:fill="auto"/>
          </w:tcPr>
          <w:p w14:paraId="0DBD4E64" w14:textId="77777777" w:rsidR="00AF11D8" w:rsidRPr="00574342"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WBS/Funding Reference</w:t>
            </w:r>
          </w:p>
        </w:tc>
        <w:tc>
          <w:tcPr>
            <w:tcW w:w="1980" w:type="dxa"/>
            <w:gridSpan w:val="4"/>
            <w:tcBorders>
              <w:bottom w:val="nil"/>
            </w:tcBorders>
            <w:shd w:val="clear" w:color="auto" w:fill="auto"/>
          </w:tcPr>
          <w:p w14:paraId="0DBD4E65" w14:textId="77777777" w:rsidR="00AF11D8" w:rsidRPr="00574342"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Activity Budget</w:t>
            </w:r>
          </w:p>
        </w:tc>
        <w:tc>
          <w:tcPr>
            <w:tcW w:w="3600" w:type="dxa"/>
            <w:gridSpan w:val="5"/>
            <w:tcBorders>
              <w:bottom w:val="nil"/>
            </w:tcBorders>
            <w:shd w:val="clear" w:color="auto" w:fill="auto"/>
          </w:tcPr>
          <w:p w14:paraId="0DBD4E66" w14:textId="77777777" w:rsidR="00AF11D8" w:rsidRPr="00574342" w:rsidRDefault="00AF11D8"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Type of engagement</w:t>
            </w:r>
          </w:p>
        </w:tc>
      </w:tr>
      <w:tr w:rsidR="00AF11D8" w:rsidRPr="00574342" w14:paraId="0DBD4E6E" w14:textId="77777777" w:rsidTr="00574342">
        <w:trPr>
          <w:trHeight w:val="432"/>
        </w:trPr>
        <w:tc>
          <w:tcPr>
            <w:tcW w:w="2520" w:type="dxa"/>
            <w:gridSpan w:val="3"/>
            <w:tcBorders>
              <w:top w:val="nil"/>
            </w:tcBorders>
            <w:shd w:val="clear" w:color="auto" w:fill="auto"/>
            <w:noWrap/>
          </w:tcPr>
          <w:p w14:paraId="1D351DDF" w14:textId="77777777" w:rsidR="00AF11D8" w:rsidRDefault="00AF11D8" w:rsidP="00011046">
            <w:pPr>
              <w:spacing w:before="60" w:after="60" w:line="240" w:lineRule="auto"/>
              <w:rPr>
                <w:rFonts w:asciiTheme="majorHAnsi" w:eastAsia="Arial Unicode MS" w:hAnsiTheme="majorHAnsi" w:cs="Gill Sans"/>
                <w:i/>
                <w:color w:val="auto"/>
                <w:lang w:val="en-AU"/>
              </w:rPr>
            </w:pPr>
          </w:p>
          <w:p w14:paraId="0DBD4E68" w14:textId="02688B68" w:rsidR="00ED0FC5" w:rsidRPr="00ED0FC5" w:rsidRDefault="00ED0FC5" w:rsidP="00E40F67">
            <w:pPr>
              <w:spacing w:before="60" w:after="60" w:line="240" w:lineRule="auto"/>
              <w:rPr>
                <w:rFonts w:ascii="Cambria" w:eastAsia="Arial Unicode MS" w:hAnsi="Cambria" w:cs="Gill Sans"/>
                <w:i/>
                <w:color w:val="auto"/>
                <w:lang w:val="en-AU"/>
              </w:rPr>
            </w:pPr>
            <w:r>
              <w:rPr>
                <w:rFonts w:ascii="Cambria" w:eastAsia="Arial Unicode MS" w:hAnsi="Cambria" w:cs="Gill Sans"/>
                <w:i/>
                <w:color w:val="auto"/>
                <w:lang w:val="en-AU"/>
              </w:rPr>
              <w:t>Output 8.1</w:t>
            </w:r>
          </w:p>
        </w:tc>
        <w:tc>
          <w:tcPr>
            <w:tcW w:w="2610" w:type="dxa"/>
            <w:gridSpan w:val="4"/>
            <w:tcBorders>
              <w:top w:val="nil"/>
            </w:tcBorders>
            <w:shd w:val="clear" w:color="auto" w:fill="auto"/>
          </w:tcPr>
          <w:p w14:paraId="22FE3877" w14:textId="77777777" w:rsidR="00AF11D8" w:rsidRDefault="00AF11D8" w:rsidP="00E4095B">
            <w:pPr>
              <w:spacing w:before="60" w:after="60" w:line="240" w:lineRule="auto"/>
              <w:rPr>
                <w:rFonts w:asciiTheme="majorHAnsi" w:eastAsia="Arial Unicode MS" w:hAnsiTheme="majorHAnsi" w:cs="Gill Sans"/>
                <w:i/>
                <w:color w:val="auto"/>
                <w:lang w:val="en-AU"/>
              </w:rPr>
            </w:pPr>
            <w:bookmarkStart w:id="0" w:name="Text4"/>
          </w:p>
          <w:p w14:paraId="0DBD4E69" w14:textId="7B25DC3C" w:rsidR="00ED0FC5" w:rsidRPr="00ED0FC5" w:rsidRDefault="00ED0FC5" w:rsidP="00E4095B">
            <w:pPr>
              <w:spacing w:before="60" w:after="60" w:line="240" w:lineRule="auto"/>
              <w:rPr>
                <w:rFonts w:ascii="Cambria" w:eastAsia="Arial Unicode MS" w:hAnsi="Cambria" w:cs="Gill Sans"/>
                <w:i/>
                <w:color w:val="auto"/>
                <w:lang w:val="en-AU"/>
              </w:rPr>
            </w:pPr>
            <w:r w:rsidRPr="00AD3B15">
              <w:rPr>
                <w:rFonts w:ascii="Cambria" w:eastAsia="Arial Unicode MS" w:hAnsi="Cambria" w:cs="Gill Sans"/>
                <w:i/>
                <w:color w:val="auto"/>
                <w:lang w:val="en-AU"/>
              </w:rPr>
              <w:t>2070/A0/05/880/004</w:t>
            </w:r>
            <w:r>
              <w:rPr>
                <w:rFonts w:ascii="Cambria" w:eastAsia="Arial Unicode MS" w:hAnsi="Cambria" w:cs="Gill Sans"/>
                <w:i/>
                <w:color w:val="auto"/>
                <w:lang w:val="en-AU"/>
              </w:rPr>
              <w:t>/003</w:t>
            </w:r>
          </w:p>
        </w:tc>
        <w:tc>
          <w:tcPr>
            <w:tcW w:w="1980" w:type="dxa"/>
            <w:gridSpan w:val="4"/>
            <w:tcBorders>
              <w:top w:val="nil"/>
            </w:tcBorders>
            <w:shd w:val="clear" w:color="auto" w:fill="auto"/>
          </w:tcPr>
          <w:p w14:paraId="3FA2BA66" w14:textId="77777777" w:rsidR="00AF11D8" w:rsidRDefault="00AF11D8" w:rsidP="00187E4B">
            <w:pPr>
              <w:spacing w:before="60" w:after="60" w:line="240" w:lineRule="auto"/>
              <w:rPr>
                <w:rFonts w:asciiTheme="majorHAnsi" w:eastAsia="Arial Unicode MS" w:hAnsiTheme="majorHAnsi" w:cs="Gill Sans"/>
                <w:i/>
                <w:color w:val="auto"/>
                <w:lang w:val="en-AU"/>
              </w:rPr>
            </w:pPr>
            <w:bookmarkStart w:id="1" w:name="Text5"/>
            <w:bookmarkEnd w:id="0"/>
          </w:p>
          <w:p w14:paraId="0DBD4E6A" w14:textId="2E834EBF" w:rsidR="00ED0FC5" w:rsidRPr="00E4095B" w:rsidRDefault="00ED0FC5" w:rsidP="00187E4B">
            <w:pPr>
              <w:spacing w:before="60" w:after="60" w:line="240" w:lineRule="auto"/>
              <w:rPr>
                <w:rFonts w:asciiTheme="majorHAnsi" w:eastAsia="Arial Unicode MS" w:hAnsiTheme="majorHAnsi" w:cs="Gill Sans"/>
                <w:i/>
                <w:color w:val="auto"/>
                <w:lang w:val="en-AU"/>
              </w:rPr>
            </w:pPr>
          </w:p>
        </w:tc>
        <w:bookmarkEnd w:id="1"/>
        <w:tc>
          <w:tcPr>
            <w:tcW w:w="3600" w:type="dxa"/>
            <w:gridSpan w:val="5"/>
            <w:tcBorders>
              <w:top w:val="nil"/>
            </w:tcBorders>
            <w:shd w:val="clear" w:color="auto" w:fill="auto"/>
          </w:tcPr>
          <w:p w14:paraId="0DBD4E6B" w14:textId="42D054DF" w:rsidR="00C302B1" w:rsidRDefault="00C302B1" w:rsidP="00A81C2E">
            <w:pPr>
              <w:spacing w:before="60" w:after="60" w:line="240" w:lineRule="auto"/>
              <w:ind w:right="-108"/>
              <w:rPr>
                <w:rFonts w:asciiTheme="majorHAnsi" w:eastAsia="Arial Unicode MS" w:hAnsiTheme="majorHAnsi" w:cs="Gill Sans"/>
                <w:color w:val="auto"/>
                <w:lang w:val="en-AU"/>
              </w:rPr>
            </w:pPr>
            <w:r>
              <w:rPr>
                <w:rFonts w:asciiTheme="majorHAnsi" w:eastAsia="Arial Unicode MS" w:hAnsiTheme="majorHAnsi" w:cs="Gill Sans"/>
                <w:color w:val="auto"/>
                <w:lang w:val="en-AU"/>
              </w:rPr>
              <w:t xml:space="preserve"> </w:t>
            </w:r>
            <w:r w:rsidR="00ED0FC5">
              <w:rPr>
                <w:rFonts w:asciiTheme="majorHAnsi" w:eastAsia="Arial Unicode MS" w:hAnsiTheme="majorHAnsi" w:cs="Gill Sans"/>
                <w:color w:val="auto"/>
                <w:lang w:val="en-AU"/>
              </w:rPr>
              <w:fldChar w:fldCharType="begin">
                <w:ffData>
                  <w:name w:val="Check11"/>
                  <w:enabled/>
                  <w:calcOnExit w:val="0"/>
                  <w:checkBox>
                    <w:sizeAuto/>
                    <w:default w:val="1"/>
                  </w:checkBox>
                </w:ffData>
              </w:fldChar>
            </w:r>
            <w:bookmarkStart w:id="2" w:name="Check11"/>
            <w:r w:rsidR="00ED0FC5">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ED0FC5">
              <w:rPr>
                <w:rFonts w:asciiTheme="majorHAnsi" w:eastAsia="Arial Unicode MS" w:hAnsiTheme="majorHAnsi" w:cs="Gill Sans"/>
                <w:color w:val="auto"/>
                <w:lang w:val="en-AU"/>
              </w:rPr>
              <w:fldChar w:fldCharType="end"/>
            </w:r>
            <w:bookmarkEnd w:id="2"/>
            <w:r w:rsidR="00090DEF" w:rsidRPr="00574342">
              <w:rPr>
                <w:rFonts w:asciiTheme="majorHAnsi" w:eastAsia="Arial Unicode MS" w:hAnsiTheme="majorHAnsi" w:cs="Gill Sans"/>
                <w:color w:val="auto"/>
                <w:lang w:val="en-AU"/>
              </w:rPr>
              <w:t xml:space="preserve"> </w:t>
            </w:r>
            <w:r w:rsidR="0086410D">
              <w:rPr>
                <w:rFonts w:asciiTheme="majorHAnsi" w:eastAsia="Arial Unicode MS" w:hAnsiTheme="majorHAnsi" w:cs="Gill Sans"/>
                <w:color w:val="auto"/>
                <w:lang w:val="en-AU"/>
              </w:rPr>
              <w:t>National Contractor/Consultant</w:t>
            </w:r>
          </w:p>
          <w:p w14:paraId="287B6A67" w14:textId="77777777" w:rsidR="00C302B1" w:rsidRDefault="00AF11D8" w:rsidP="00A81C2E">
            <w:pPr>
              <w:spacing w:before="60" w:after="60" w:line="240" w:lineRule="auto"/>
              <w:ind w:right="-108"/>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 </w:t>
            </w:r>
            <w:r w:rsidRPr="00574342">
              <w:rPr>
                <w:rFonts w:asciiTheme="majorHAnsi" w:eastAsia="Arial Unicode MS" w:hAnsiTheme="majorHAnsi" w:cs="Gill Sans"/>
                <w:color w:val="auto"/>
                <w:lang w:val="en-AU"/>
              </w:rPr>
              <w:fldChar w:fldCharType="begin">
                <w:ffData>
                  <w:name w:val="Check12"/>
                  <w:enabled/>
                  <w:calcOnExit w:val="0"/>
                  <w:checkBox>
                    <w:sizeAuto/>
                    <w:default w:val="0"/>
                  </w:checkBox>
                </w:ffData>
              </w:fldChar>
            </w:r>
            <w:bookmarkStart w:id="3" w:name="Check12"/>
            <w:r w:rsidRPr="00574342">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Pr="00574342">
              <w:rPr>
                <w:rFonts w:asciiTheme="majorHAnsi" w:eastAsia="Arial Unicode MS" w:hAnsiTheme="majorHAnsi" w:cs="Gill Sans"/>
                <w:color w:val="auto"/>
                <w:lang w:val="en-AU"/>
              </w:rPr>
              <w:fldChar w:fldCharType="end"/>
            </w:r>
            <w:bookmarkEnd w:id="3"/>
            <w:r w:rsidRPr="00574342">
              <w:rPr>
                <w:rFonts w:asciiTheme="majorHAnsi" w:eastAsia="Arial Unicode MS" w:hAnsiTheme="majorHAnsi" w:cs="Gill Sans"/>
                <w:color w:val="auto"/>
                <w:lang w:val="en-AU"/>
              </w:rPr>
              <w:t xml:space="preserve"> </w:t>
            </w:r>
            <w:r w:rsidR="0086410D">
              <w:rPr>
                <w:rFonts w:asciiTheme="majorHAnsi" w:eastAsia="Arial Unicode MS" w:hAnsiTheme="majorHAnsi" w:cs="Gill Sans"/>
                <w:color w:val="auto"/>
                <w:lang w:val="en-AU"/>
              </w:rPr>
              <w:t>International Contractor/Consultant</w:t>
            </w:r>
          </w:p>
          <w:p w14:paraId="0DBD4E6D" w14:textId="21ADB920" w:rsidR="00F76055" w:rsidRPr="00574342" w:rsidRDefault="00F76055" w:rsidP="00A81C2E">
            <w:pPr>
              <w:spacing w:before="60" w:after="60" w:line="240" w:lineRule="auto"/>
              <w:ind w:right="-108"/>
              <w:rPr>
                <w:rFonts w:asciiTheme="majorHAnsi" w:eastAsia="Arial Unicode MS" w:hAnsiTheme="majorHAnsi" w:cs="Gill Sans"/>
                <w:color w:val="auto"/>
                <w:lang w:val="en-AU"/>
              </w:rPr>
            </w:pPr>
          </w:p>
        </w:tc>
      </w:tr>
      <w:tr w:rsidR="00C969FF" w:rsidRPr="00574342" w14:paraId="0DBD4E72" w14:textId="77777777" w:rsidTr="00A26DEC">
        <w:tc>
          <w:tcPr>
            <w:tcW w:w="3570" w:type="dxa"/>
            <w:gridSpan w:val="4"/>
            <w:tcBorders>
              <w:bottom w:val="nil"/>
            </w:tcBorders>
            <w:shd w:val="clear" w:color="auto" w:fill="auto"/>
            <w:noWrap/>
            <w:hideMark/>
          </w:tcPr>
          <w:p w14:paraId="0DBD4E6F" w14:textId="77777777" w:rsidR="00B504E9"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Grant:</w:t>
            </w:r>
          </w:p>
        </w:tc>
        <w:tc>
          <w:tcPr>
            <w:tcW w:w="3570" w:type="dxa"/>
            <w:gridSpan w:val="8"/>
            <w:tcBorders>
              <w:bottom w:val="nil"/>
            </w:tcBorders>
            <w:shd w:val="clear" w:color="auto" w:fill="auto"/>
          </w:tcPr>
          <w:p w14:paraId="0DBD4E70" w14:textId="77777777" w:rsidR="00C969FF"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GL Account:</w:t>
            </w:r>
          </w:p>
        </w:tc>
        <w:tc>
          <w:tcPr>
            <w:tcW w:w="3570" w:type="dxa"/>
            <w:gridSpan w:val="4"/>
            <w:tcBorders>
              <w:bottom w:val="nil"/>
            </w:tcBorders>
            <w:shd w:val="clear" w:color="auto" w:fill="auto"/>
          </w:tcPr>
          <w:p w14:paraId="0DBD4E71" w14:textId="77777777" w:rsidR="00C969FF" w:rsidRPr="00574342" w:rsidRDefault="00C969FF" w:rsidP="004A2077">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Fund ID:</w:t>
            </w:r>
          </w:p>
        </w:tc>
      </w:tr>
      <w:tr w:rsidR="00C969FF" w:rsidRPr="00574342" w14:paraId="0DBD4E76" w14:textId="77777777" w:rsidTr="00A26DEC">
        <w:tc>
          <w:tcPr>
            <w:tcW w:w="3570" w:type="dxa"/>
            <w:gridSpan w:val="4"/>
            <w:tcBorders>
              <w:top w:val="nil"/>
            </w:tcBorders>
            <w:shd w:val="clear" w:color="auto" w:fill="auto"/>
            <w:noWrap/>
          </w:tcPr>
          <w:p w14:paraId="0DBD4E73" w14:textId="1E753BBF" w:rsidR="00B67F3A" w:rsidRPr="00574342" w:rsidRDefault="00ED0FC5" w:rsidP="00574342">
            <w:pPr>
              <w:spacing w:before="60" w:after="60" w:line="240" w:lineRule="auto"/>
              <w:rPr>
                <w:rFonts w:asciiTheme="majorHAnsi" w:eastAsia="Arial Unicode MS" w:hAnsiTheme="majorHAnsi" w:cs="Gill Sans"/>
                <w:i/>
                <w:color w:val="auto"/>
                <w:lang w:val="en-AU"/>
              </w:rPr>
            </w:pPr>
            <w:r>
              <w:rPr>
                <w:rFonts w:ascii="Cambria" w:eastAsia="Arial Unicode MS" w:hAnsi="Cambria" w:cs="Gill Sans"/>
                <w:i/>
                <w:color w:val="auto"/>
                <w:lang w:val="en-AU"/>
              </w:rPr>
              <w:t>Non-Grant</w:t>
            </w:r>
          </w:p>
        </w:tc>
        <w:tc>
          <w:tcPr>
            <w:tcW w:w="3570" w:type="dxa"/>
            <w:gridSpan w:val="8"/>
            <w:tcBorders>
              <w:top w:val="nil"/>
            </w:tcBorders>
            <w:shd w:val="clear" w:color="auto" w:fill="auto"/>
          </w:tcPr>
          <w:p w14:paraId="0DBD4E74" w14:textId="1FAD4C0E" w:rsidR="00C969FF" w:rsidRPr="00ED0FC5" w:rsidRDefault="00ED0FC5" w:rsidP="004A2077">
            <w:pPr>
              <w:spacing w:before="60" w:after="60" w:line="240" w:lineRule="auto"/>
              <w:rPr>
                <w:rFonts w:ascii="Cambria" w:eastAsia="Arial Unicode MS" w:hAnsi="Cambria" w:cs="Gill Sans"/>
                <w:i/>
                <w:color w:val="auto"/>
                <w:lang w:val="en-AU"/>
              </w:rPr>
            </w:pPr>
            <w:r>
              <w:rPr>
                <w:rFonts w:ascii="Cambria" w:eastAsia="Arial Unicode MS" w:hAnsi="Cambria" w:cs="Gill Sans"/>
                <w:i/>
                <w:color w:val="auto"/>
                <w:lang w:val="en-AU"/>
              </w:rPr>
              <w:t>7000110</w:t>
            </w:r>
          </w:p>
        </w:tc>
        <w:tc>
          <w:tcPr>
            <w:tcW w:w="3570" w:type="dxa"/>
            <w:gridSpan w:val="4"/>
            <w:tcBorders>
              <w:top w:val="nil"/>
            </w:tcBorders>
            <w:shd w:val="clear" w:color="auto" w:fill="auto"/>
          </w:tcPr>
          <w:p w14:paraId="0DBD4E75" w14:textId="2836141F" w:rsidR="00C969FF" w:rsidRPr="00574342" w:rsidRDefault="00ED0FC5" w:rsidP="008940A8">
            <w:pPr>
              <w:spacing w:before="60" w:after="60" w:line="240" w:lineRule="auto"/>
              <w:rPr>
                <w:rFonts w:asciiTheme="majorHAnsi" w:eastAsia="Arial Unicode MS" w:hAnsiTheme="majorHAnsi" w:cs="Gill Sans"/>
                <w:i/>
                <w:color w:val="auto"/>
                <w:lang w:val="en-AU"/>
              </w:rPr>
            </w:pPr>
            <w:r>
              <w:rPr>
                <w:rFonts w:ascii="Cambria" w:eastAsia="Arial Unicode MS" w:hAnsi="Cambria" w:cs="Gill Sans"/>
                <w:i/>
                <w:color w:val="auto"/>
                <w:lang w:val="en-AU"/>
              </w:rPr>
              <w:t>GC</w:t>
            </w:r>
          </w:p>
        </w:tc>
      </w:tr>
      <w:tr w:rsidR="00522596" w:rsidRPr="00574342" w14:paraId="0DBD4E7B" w14:textId="77777777" w:rsidTr="00A26DEC">
        <w:tc>
          <w:tcPr>
            <w:tcW w:w="10710" w:type="dxa"/>
            <w:gridSpan w:val="16"/>
            <w:tcBorders>
              <w:bottom w:val="nil"/>
            </w:tcBorders>
            <w:shd w:val="clear" w:color="auto" w:fill="auto"/>
            <w:noWrap/>
            <w:hideMark/>
          </w:tcPr>
          <w:p w14:paraId="0DBD4E77" w14:textId="77777777" w:rsidR="00522596" w:rsidRDefault="00522596" w:rsidP="00FE3A66">
            <w:pPr>
              <w:spacing w:before="60" w:after="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Purpose of Activity/Assignment</w:t>
            </w:r>
            <w:r w:rsidR="00095160" w:rsidRPr="00574342">
              <w:rPr>
                <w:rFonts w:asciiTheme="majorHAnsi" w:eastAsia="Arial Unicode MS" w:hAnsiTheme="majorHAnsi" w:cs="Gill Sans"/>
                <w:color w:val="auto"/>
                <w:lang w:val="en-AU"/>
              </w:rPr>
              <w:t xml:space="preserve"> </w:t>
            </w:r>
            <w:r w:rsidR="00FE3A66" w:rsidRPr="00574342">
              <w:rPr>
                <w:rFonts w:asciiTheme="majorHAnsi" w:eastAsia="Arial Unicode MS" w:hAnsiTheme="majorHAnsi" w:cs="Gill Sans"/>
                <w:color w:val="auto"/>
                <w:lang w:val="en-AU"/>
              </w:rPr>
              <w:t xml:space="preserve"> (</w:t>
            </w:r>
            <w:r w:rsidR="00095160" w:rsidRPr="00574342">
              <w:rPr>
                <w:rFonts w:asciiTheme="majorHAnsi" w:eastAsia="Arial Unicode MS" w:hAnsiTheme="majorHAnsi" w:cs="Gill Sans"/>
                <w:color w:val="auto"/>
                <w:lang w:val="en-AU"/>
              </w:rPr>
              <w:t xml:space="preserve">Link with </w:t>
            </w:r>
            <w:r w:rsidR="00095160" w:rsidRPr="00574342">
              <w:rPr>
                <w:rFonts w:asciiTheme="majorHAnsi" w:eastAsia="Arial Unicode MS" w:hAnsiTheme="majorHAnsi" w:cs="Gill Sans"/>
                <w:b/>
                <w:color w:val="auto"/>
                <w:lang w:val="en-AU"/>
              </w:rPr>
              <w:t>AWP/ MYWP</w:t>
            </w:r>
            <w:r w:rsidR="00095160" w:rsidRPr="00574342">
              <w:rPr>
                <w:rFonts w:asciiTheme="majorHAnsi" w:eastAsia="Arial Unicode MS" w:hAnsiTheme="majorHAnsi" w:cs="Gill Sans"/>
                <w:color w:val="auto"/>
                <w:lang w:val="en-AU"/>
              </w:rPr>
              <w:t xml:space="preserve"> or IMEP)</w:t>
            </w:r>
          </w:p>
          <w:p w14:paraId="4BEAC141" w14:textId="77777777" w:rsidR="00ED0FC5" w:rsidRPr="00574342" w:rsidRDefault="00ED0FC5" w:rsidP="00FE3A66">
            <w:pPr>
              <w:spacing w:before="60" w:after="60" w:line="240" w:lineRule="auto"/>
              <w:rPr>
                <w:rFonts w:asciiTheme="majorHAnsi" w:eastAsia="Arial Unicode MS" w:hAnsiTheme="majorHAnsi" w:cs="Gill Sans"/>
                <w:color w:val="auto"/>
                <w:lang w:val="en-AU"/>
              </w:rPr>
            </w:pPr>
          </w:p>
          <w:p w14:paraId="0DBD4E7A" w14:textId="20612029" w:rsidR="00C302B1" w:rsidRPr="00574342" w:rsidRDefault="00ED0FC5" w:rsidP="00B5534C">
            <w:pPr>
              <w:spacing w:after="120"/>
              <w:rPr>
                <w:rFonts w:asciiTheme="majorHAnsi" w:hAnsiTheme="majorHAnsi" w:cs="Arial"/>
                <w:sz w:val="22"/>
                <w:szCs w:val="22"/>
              </w:rPr>
            </w:pPr>
            <w:r w:rsidRPr="00754FD8">
              <w:rPr>
                <w:rFonts w:eastAsia="Times New Roman" w:cs="Arial"/>
              </w:rPr>
              <w:t xml:space="preserve">The Planning, Monitoring and Evaluation Unit, UNICEF Indonesia Country Office, is seeking an individual national consultant to conduct a case study on national evaluation capacity in Indonesia as part of an Asia and Pacific joint UNICEF-UNDP regional Review of </w:t>
            </w:r>
            <w:r w:rsidRPr="00754FD8">
              <w:rPr>
                <w:rFonts w:eastAsia="Times New Roman" w:cs="Arial"/>
                <w:i/>
                <w:iCs/>
              </w:rPr>
              <w:t>National Evaluation Systems and Capacities for Evaluating Progress towards the Sustainable Development Goals (SDGs)</w:t>
            </w:r>
            <w:r w:rsidRPr="00754FD8">
              <w:rPr>
                <w:rFonts w:eastAsia="Times New Roman" w:cs="Arial"/>
              </w:rPr>
              <w:t>.  The regional review is led by two Senior Evaluation Experts who are overseen by UNICEF and UNDP Bangkok, and who will provide technical oversight to this assignment.  The regional review will include several countries and will lead to a regional synthesis report.</w:t>
            </w:r>
            <w:r>
              <w:rPr>
                <w:rFonts w:eastAsia="Times New Roman" w:cs="Arial"/>
              </w:rPr>
              <w:t xml:space="preserve"> (MYWP sub-activity 8.1.2.1)</w:t>
            </w:r>
          </w:p>
        </w:tc>
      </w:tr>
      <w:tr w:rsidR="00063BF9" w:rsidRPr="00574342" w14:paraId="0DBD4E7F" w14:textId="77777777" w:rsidTr="00A26DEC">
        <w:tc>
          <w:tcPr>
            <w:tcW w:w="1638" w:type="dxa"/>
            <w:tcBorders>
              <w:bottom w:val="nil"/>
            </w:tcBorders>
            <w:shd w:val="clear" w:color="auto" w:fill="auto"/>
            <w:noWrap/>
            <w:hideMark/>
          </w:tcPr>
          <w:p w14:paraId="0DBD4E7C" w14:textId="77777777" w:rsidR="00BC4D8B" w:rsidRPr="00574342" w:rsidRDefault="00394C47"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hAnsiTheme="majorHAnsi"/>
              </w:rPr>
              <w:br w:type="page"/>
            </w:r>
            <w:r w:rsidR="00BC4D8B" w:rsidRPr="00574342">
              <w:rPr>
                <w:rFonts w:asciiTheme="majorHAnsi" w:eastAsia="Arial Unicode MS" w:hAnsiTheme="majorHAnsi" w:cs="Gill Sans"/>
                <w:color w:val="auto"/>
                <w:lang w:val="en-AU"/>
              </w:rPr>
              <w:t>Budget Year</w:t>
            </w:r>
          </w:p>
        </w:tc>
        <w:tc>
          <w:tcPr>
            <w:tcW w:w="3510" w:type="dxa"/>
            <w:gridSpan w:val="7"/>
            <w:tcBorders>
              <w:bottom w:val="nil"/>
            </w:tcBorders>
            <w:shd w:val="clear" w:color="auto" w:fill="auto"/>
            <w:noWrap/>
            <w:hideMark/>
          </w:tcPr>
          <w:p w14:paraId="0DBD4E7D" w14:textId="77777777" w:rsidR="00BC4D8B" w:rsidRPr="00574342" w:rsidRDefault="005239BE"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Requesting Section</w:t>
            </w:r>
            <w:r w:rsidR="00BC4D8B" w:rsidRPr="00574342">
              <w:rPr>
                <w:rFonts w:asciiTheme="majorHAnsi" w:eastAsia="Arial Unicode MS" w:hAnsiTheme="majorHAnsi" w:cs="Gill Sans"/>
                <w:color w:val="auto"/>
                <w:lang w:val="en-AU"/>
              </w:rPr>
              <w:t>/Issuing Office:</w:t>
            </w:r>
          </w:p>
        </w:tc>
        <w:tc>
          <w:tcPr>
            <w:tcW w:w="5562" w:type="dxa"/>
            <w:gridSpan w:val="8"/>
            <w:tcBorders>
              <w:bottom w:val="nil"/>
            </w:tcBorders>
            <w:shd w:val="clear" w:color="auto" w:fill="auto"/>
          </w:tcPr>
          <w:p w14:paraId="0DBD4E7E" w14:textId="77777777" w:rsidR="00BC4D8B" w:rsidRPr="00574342" w:rsidRDefault="00BC4D8B" w:rsidP="0065276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Reasons why </w:t>
            </w:r>
            <w:r w:rsidR="0065276F">
              <w:rPr>
                <w:rFonts w:asciiTheme="majorHAnsi" w:eastAsia="Arial Unicode MS" w:hAnsiTheme="majorHAnsi" w:cs="Gill Sans"/>
                <w:color w:val="auto"/>
                <w:lang w:val="en-AU"/>
              </w:rPr>
              <w:t>tasks</w:t>
            </w:r>
            <w:r w:rsidRPr="00574342">
              <w:rPr>
                <w:rFonts w:asciiTheme="majorHAnsi" w:eastAsia="Arial Unicode MS" w:hAnsiTheme="majorHAnsi" w:cs="Gill Sans"/>
                <w:color w:val="auto"/>
                <w:lang w:val="en-AU"/>
              </w:rPr>
              <w:t xml:space="preserve"> cannot be done by staff</w:t>
            </w:r>
          </w:p>
        </w:tc>
      </w:tr>
      <w:tr w:rsidR="00063BF9" w:rsidRPr="00574342" w14:paraId="0DBD4E83" w14:textId="77777777" w:rsidTr="00A26DEC">
        <w:tc>
          <w:tcPr>
            <w:tcW w:w="1638" w:type="dxa"/>
            <w:tcBorders>
              <w:top w:val="nil"/>
            </w:tcBorders>
            <w:shd w:val="clear" w:color="auto" w:fill="auto"/>
            <w:noWrap/>
          </w:tcPr>
          <w:p w14:paraId="0DBD4E80" w14:textId="77777777" w:rsidR="00BC4D8B" w:rsidRPr="00574342" w:rsidRDefault="00DF25D2" w:rsidP="0086410D">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201</w:t>
            </w:r>
            <w:r w:rsidR="0086410D">
              <w:rPr>
                <w:rFonts w:asciiTheme="majorHAnsi" w:eastAsia="Arial Unicode MS" w:hAnsiTheme="majorHAnsi" w:cs="Gill Sans"/>
                <w:i/>
                <w:color w:val="auto"/>
                <w:lang w:val="en-AU"/>
              </w:rPr>
              <w:t>7</w:t>
            </w:r>
          </w:p>
        </w:tc>
        <w:tc>
          <w:tcPr>
            <w:tcW w:w="3510" w:type="dxa"/>
            <w:gridSpan w:val="7"/>
            <w:tcBorders>
              <w:top w:val="nil"/>
            </w:tcBorders>
            <w:shd w:val="clear" w:color="auto" w:fill="auto"/>
            <w:noWrap/>
          </w:tcPr>
          <w:p w14:paraId="0DBD4E81" w14:textId="2B83CDC0" w:rsidR="00BC4D8B" w:rsidRPr="00574342" w:rsidRDefault="00E40F67" w:rsidP="00FA025F">
            <w:pPr>
              <w:spacing w:before="60" w:after="60" w:line="240" w:lineRule="auto"/>
              <w:rPr>
                <w:rFonts w:asciiTheme="majorHAnsi" w:eastAsia="Arial Unicode MS" w:hAnsiTheme="majorHAnsi" w:cs="Gill Sans"/>
                <w:i/>
                <w:color w:val="auto"/>
                <w:lang w:val="en-AU"/>
              </w:rPr>
            </w:pPr>
            <w:r>
              <w:rPr>
                <w:rFonts w:ascii="Cambria" w:eastAsia="Arial Unicode MS" w:hAnsi="Cambria" w:cs="Gill Sans"/>
                <w:i/>
                <w:color w:val="auto"/>
                <w:lang w:val="en-AU"/>
              </w:rPr>
              <w:t>PM&amp;E unit/ UNICEF Jakarta, Indonesia</w:t>
            </w:r>
          </w:p>
        </w:tc>
        <w:tc>
          <w:tcPr>
            <w:tcW w:w="5562" w:type="dxa"/>
            <w:gridSpan w:val="8"/>
            <w:tcBorders>
              <w:top w:val="nil"/>
            </w:tcBorders>
            <w:shd w:val="clear" w:color="auto" w:fill="auto"/>
          </w:tcPr>
          <w:p w14:paraId="0DBD4E82" w14:textId="5653FA01" w:rsidR="00DA5361" w:rsidRPr="00574342" w:rsidRDefault="00E40F67" w:rsidP="00BA3100">
            <w:pPr>
              <w:spacing w:before="60" w:after="60" w:line="240" w:lineRule="auto"/>
              <w:rPr>
                <w:rFonts w:asciiTheme="majorHAnsi" w:eastAsia="Arial Unicode MS" w:hAnsiTheme="majorHAnsi" w:cs="Gill Sans"/>
                <w:i/>
                <w:color w:val="auto"/>
                <w:lang w:val="en-AU"/>
              </w:rPr>
            </w:pPr>
            <w:r>
              <w:rPr>
                <w:rFonts w:ascii="Cambria" w:eastAsia="Arial Unicode MS" w:hAnsi="Cambria" w:cs="Gill Sans"/>
                <w:i/>
                <w:color w:val="auto"/>
                <w:lang w:val="en-AU"/>
              </w:rPr>
              <w:t>The required time and work commitment is above and beyond the current capacity of the unit.</w:t>
            </w:r>
          </w:p>
        </w:tc>
      </w:tr>
      <w:tr w:rsidR="00BC4D8B" w:rsidRPr="00574342" w14:paraId="0DBD4E85" w14:textId="77777777" w:rsidTr="00A26DEC">
        <w:tc>
          <w:tcPr>
            <w:tcW w:w="10710" w:type="dxa"/>
            <w:gridSpan w:val="16"/>
            <w:tcBorders>
              <w:bottom w:val="nil"/>
            </w:tcBorders>
            <w:shd w:val="clear" w:color="auto" w:fill="auto"/>
          </w:tcPr>
          <w:p w14:paraId="0DBD4E84" w14:textId="77777777" w:rsidR="00BC4D8B" w:rsidRPr="00574342" w:rsidRDefault="00BC4D8B" w:rsidP="00FA025F">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Consultant</w:t>
            </w:r>
            <w:r w:rsidR="005239BE" w:rsidRPr="00574342">
              <w:rPr>
                <w:rFonts w:asciiTheme="majorHAnsi" w:eastAsia="Arial Unicode MS" w:hAnsiTheme="majorHAnsi" w:cs="Gill Sans"/>
                <w:color w:val="auto"/>
                <w:lang w:val="en-AU"/>
              </w:rPr>
              <w:t xml:space="preserve"> selection method</w:t>
            </w:r>
          </w:p>
        </w:tc>
      </w:tr>
      <w:tr w:rsidR="005239BE" w:rsidRPr="00574342" w14:paraId="0DBD4E87" w14:textId="77777777" w:rsidTr="00A26DEC">
        <w:tc>
          <w:tcPr>
            <w:tcW w:w="10710" w:type="dxa"/>
            <w:gridSpan w:val="16"/>
            <w:tcBorders>
              <w:top w:val="nil"/>
              <w:bottom w:val="single" w:sz="8" w:space="0" w:color="6D6D6D"/>
            </w:tcBorders>
            <w:shd w:val="clear" w:color="auto" w:fill="auto"/>
          </w:tcPr>
          <w:p w14:paraId="0DBD4E86" w14:textId="69710E1C" w:rsidR="005239BE" w:rsidRPr="00574342" w:rsidRDefault="00F76055" w:rsidP="0065276F">
            <w:pPr>
              <w:spacing w:before="120" w:after="60"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fldChar w:fldCharType="begin">
                <w:ffData>
                  <w:name w:val=""/>
                  <w:enabled/>
                  <w:calcOnExit w:val="0"/>
                  <w:checkBox>
                    <w:sizeAuto/>
                    <w:default w:val="1"/>
                  </w:checkBox>
                </w:ffData>
              </w:fldChar>
            </w:r>
            <w:r>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Pr>
                <w:rFonts w:asciiTheme="majorHAnsi" w:eastAsia="Arial Unicode MS" w:hAnsiTheme="majorHAnsi" w:cs="Gill Sans"/>
                <w:color w:val="auto"/>
                <w:lang w:val="en-AU"/>
              </w:rPr>
              <w:fldChar w:fldCharType="end"/>
            </w:r>
            <w:r w:rsidR="000124DB" w:rsidRPr="00574342">
              <w:rPr>
                <w:rFonts w:asciiTheme="majorHAnsi" w:eastAsia="Arial Unicode MS" w:hAnsiTheme="majorHAnsi" w:cs="Gill Sans"/>
                <w:color w:val="auto"/>
                <w:lang w:val="en-AU"/>
              </w:rPr>
              <w:t xml:space="preserve"> </w:t>
            </w:r>
            <w:r w:rsidR="005966ED" w:rsidRPr="00574342">
              <w:rPr>
                <w:rFonts w:asciiTheme="majorHAnsi" w:eastAsia="Arial Unicode MS" w:hAnsiTheme="majorHAnsi" w:cs="Gill Sans"/>
                <w:color w:val="0000FF"/>
                <w:lang w:val="en-AU"/>
              </w:rPr>
              <w:t xml:space="preserve">Competitive </w:t>
            </w:r>
            <w:r w:rsidR="009C2895" w:rsidRPr="00574342">
              <w:rPr>
                <w:rFonts w:asciiTheme="majorHAnsi" w:eastAsia="Arial Unicode MS" w:hAnsiTheme="majorHAnsi" w:cs="Gill Sans"/>
                <w:color w:val="0000FF"/>
                <w:lang w:val="en-AU"/>
              </w:rPr>
              <w:t xml:space="preserve"> </w:t>
            </w:r>
            <w:r w:rsidR="00394C47" w:rsidRPr="00574342">
              <w:rPr>
                <w:rFonts w:asciiTheme="majorHAnsi" w:eastAsia="Arial Unicode MS" w:hAnsiTheme="majorHAnsi" w:cs="Gill Sans"/>
                <w:color w:val="0000FF"/>
                <w:lang w:val="en-AU"/>
              </w:rPr>
              <w:t xml:space="preserve"> </w:t>
            </w:r>
            <w:r w:rsidR="00C302B1">
              <w:rPr>
                <w:rFonts w:asciiTheme="majorHAnsi" w:eastAsia="Arial Unicode MS" w:hAnsiTheme="majorHAnsi" w:cs="Gill Sans"/>
                <w:color w:val="0000FF"/>
                <w:lang w:val="en-AU"/>
              </w:rPr>
              <w:fldChar w:fldCharType="begin">
                <w:ffData>
                  <w:name w:val=""/>
                  <w:enabled/>
                  <w:calcOnExit w:val="0"/>
                  <w:checkBox>
                    <w:sizeAuto/>
                    <w:default w:val="0"/>
                  </w:checkBox>
                </w:ffData>
              </w:fldChar>
            </w:r>
            <w:r w:rsidR="00C302B1">
              <w:rPr>
                <w:rFonts w:asciiTheme="majorHAnsi" w:eastAsia="Arial Unicode MS" w:hAnsiTheme="majorHAnsi" w:cs="Gill Sans"/>
                <w:color w:val="0000FF"/>
                <w:lang w:val="en-AU"/>
              </w:rPr>
              <w:instrText xml:space="preserve"> FORMCHECKBOX </w:instrText>
            </w:r>
            <w:r w:rsidR="008E0E34">
              <w:rPr>
                <w:rFonts w:asciiTheme="majorHAnsi" w:eastAsia="Arial Unicode MS" w:hAnsiTheme="majorHAnsi" w:cs="Gill Sans"/>
                <w:color w:val="0000FF"/>
                <w:lang w:val="en-AU"/>
              </w:rPr>
            </w:r>
            <w:r w:rsidR="008E0E34">
              <w:rPr>
                <w:rFonts w:asciiTheme="majorHAnsi" w:eastAsia="Arial Unicode MS" w:hAnsiTheme="majorHAnsi" w:cs="Gill Sans"/>
                <w:color w:val="0000FF"/>
                <w:lang w:val="en-AU"/>
              </w:rPr>
              <w:fldChar w:fldCharType="separate"/>
            </w:r>
            <w:r w:rsidR="00C302B1">
              <w:rPr>
                <w:rFonts w:asciiTheme="majorHAnsi" w:eastAsia="Arial Unicode MS" w:hAnsiTheme="majorHAnsi" w:cs="Gill Sans"/>
                <w:color w:val="0000FF"/>
                <w:lang w:val="en-AU"/>
              </w:rPr>
              <w:fldChar w:fldCharType="end"/>
            </w:r>
            <w:r w:rsidR="000124DB" w:rsidRPr="00574342">
              <w:rPr>
                <w:rFonts w:asciiTheme="majorHAnsi" w:eastAsia="Arial Unicode MS" w:hAnsiTheme="majorHAnsi" w:cs="Gill Sans"/>
                <w:color w:val="0000FF"/>
                <w:lang w:val="en-AU"/>
              </w:rPr>
              <w:t xml:space="preserve"> </w:t>
            </w:r>
            <w:r w:rsidR="00C565EB" w:rsidRPr="00574342">
              <w:rPr>
                <w:rFonts w:asciiTheme="majorHAnsi" w:eastAsia="Arial Unicode MS" w:hAnsiTheme="majorHAnsi" w:cs="Gill Sans"/>
                <w:color w:val="auto"/>
                <w:lang w:val="en-AU"/>
              </w:rPr>
              <w:t xml:space="preserve">Selection </w:t>
            </w:r>
            <w:r w:rsidR="00187E4B" w:rsidRPr="00574342">
              <w:rPr>
                <w:rFonts w:asciiTheme="majorHAnsi" w:eastAsia="Arial Unicode MS" w:hAnsiTheme="majorHAnsi" w:cs="Gill Sans"/>
                <w:color w:val="auto"/>
                <w:lang w:val="en-AU"/>
              </w:rPr>
              <w:t>roster</w:t>
            </w:r>
            <w:r w:rsidR="00C565EB" w:rsidRPr="00574342">
              <w:rPr>
                <w:rFonts w:asciiTheme="majorHAnsi" w:eastAsia="Arial Unicode MS" w:hAnsiTheme="majorHAnsi" w:cs="Gill Sans"/>
                <w:color w:val="auto"/>
                <w:lang w:val="en-AU"/>
              </w:rPr>
              <w:t xml:space="preserve">       </w:t>
            </w:r>
          </w:p>
        </w:tc>
      </w:tr>
      <w:tr w:rsidR="006E6039" w:rsidRPr="00574342" w14:paraId="0DBD4E8A" w14:textId="77777777" w:rsidTr="00A26DEC">
        <w:tc>
          <w:tcPr>
            <w:tcW w:w="10710" w:type="dxa"/>
            <w:gridSpan w:val="16"/>
            <w:tcBorders>
              <w:top w:val="nil"/>
              <w:bottom w:val="single" w:sz="8" w:space="0" w:color="6D6D6D"/>
            </w:tcBorders>
            <w:shd w:val="clear" w:color="auto" w:fill="auto"/>
          </w:tcPr>
          <w:p w14:paraId="0DBD4E88" w14:textId="22C8C4CA" w:rsidR="006E6039" w:rsidRPr="00574342" w:rsidRDefault="00F76055" w:rsidP="002347E7">
            <w:pPr>
              <w:spacing w:before="120" w:after="60" w:line="240" w:lineRule="auto"/>
              <w:rPr>
                <w:rFonts w:asciiTheme="majorHAnsi" w:eastAsia="Arial Unicode MS" w:hAnsiTheme="majorHAnsi" w:cs="Gill Sans"/>
                <w:color w:val="0000FF"/>
                <w:lang w:val="en-AU"/>
              </w:rPr>
            </w:pPr>
            <w:r>
              <w:rPr>
                <w:rFonts w:asciiTheme="majorHAnsi" w:eastAsia="Arial Unicode MS" w:hAnsiTheme="majorHAnsi" w:cs="Gill Sans"/>
                <w:color w:val="0000FF"/>
                <w:lang w:val="en-AU"/>
              </w:rPr>
              <w:fldChar w:fldCharType="begin">
                <w:ffData>
                  <w:name w:val=""/>
                  <w:enabled/>
                  <w:calcOnExit w:val="0"/>
                  <w:checkBox>
                    <w:sizeAuto/>
                    <w:default w:val="1"/>
                  </w:checkBox>
                </w:ffData>
              </w:fldChar>
            </w:r>
            <w:r>
              <w:rPr>
                <w:rFonts w:asciiTheme="majorHAnsi" w:eastAsia="Arial Unicode MS" w:hAnsiTheme="majorHAnsi" w:cs="Gill Sans"/>
                <w:color w:val="0000FF"/>
                <w:lang w:val="en-AU"/>
              </w:rPr>
              <w:instrText xml:space="preserve"> FORMCHECKBOX </w:instrText>
            </w:r>
            <w:r w:rsidR="008E0E34">
              <w:rPr>
                <w:rFonts w:asciiTheme="majorHAnsi" w:eastAsia="Arial Unicode MS" w:hAnsiTheme="majorHAnsi" w:cs="Gill Sans"/>
                <w:color w:val="0000FF"/>
                <w:lang w:val="en-AU"/>
              </w:rPr>
            </w:r>
            <w:r w:rsidR="008E0E34">
              <w:rPr>
                <w:rFonts w:asciiTheme="majorHAnsi" w:eastAsia="Arial Unicode MS" w:hAnsiTheme="majorHAnsi" w:cs="Gill Sans"/>
                <w:color w:val="0000FF"/>
                <w:lang w:val="en-AU"/>
              </w:rPr>
              <w:fldChar w:fldCharType="separate"/>
            </w:r>
            <w:r>
              <w:rPr>
                <w:rFonts w:asciiTheme="majorHAnsi" w:eastAsia="Arial Unicode MS" w:hAnsiTheme="majorHAnsi" w:cs="Gill Sans"/>
                <w:color w:val="0000FF"/>
                <w:lang w:val="en-AU"/>
              </w:rPr>
              <w:fldChar w:fldCharType="end"/>
            </w:r>
            <w:r w:rsidR="00BC0BCF" w:rsidRPr="00574342">
              <w:rPr>
                <w:rFonts w:asciiTheme="majorHAnsi" w:eastAsia="Arial Unicode MS" w:hAnsiTheme="majorHAnsi" w:cs="Gill Sans"/>
                <w:color w:val="0000FF"/>
                <w:lang w:val="en-AU"/>
              </w:rPr>
              <w:t xml:space="preserve"> </w:t>
            </w:r>
            <w:r w:rsidR="006E6039" w:rsidRPr="00574342">
              <w:rPr>
                <w:rFonts w:asciiTheme="majorHAnsi" w:eastAsia="Arial Unicode MS" w:hAnsiTheme="majorHAnsi" w:cs="Gill Sans"/>
                <w:color w:val="0000FF"/>
                <w:lang w:val="en-AU"/>
              </w:rPr>
              <w:t xml:space="preserve"> New SSA</w:t>
            </w:r>
          </w:p>
          <w:bookmarkStart w:id="4" w:name="Check10"/>
          <w:p w14:paraId="0DBD4E89" w14:textId="77777777" w:rsidR="006E6039" w:rsidRPr="00574342" w:rsidRDefault="00394C47" w:rsidP="00394C47">
            <w:pPr>
              <w:spacing w:before="120" w:after="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fldChar w:fldCharType="begin">
                <w:ffData>
                  <w:name w:val=""/>
                  <w:enabled/>
                  <w:calcOnExit w:val="0"/>
                  <w:checkBox>
                    <w:sizeAuto/>
                    <w:default w:val="0"/>
                  </w:checkBox>
                </w:ffData>
              </w:fldChar>
            </w:r>
            <w:r w:rsidRPr="00574342">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Pr="00574342">
              <w:rPr>
                <w:rFonts w:asciiTheme="majorHAnsi" w:eastAsia="Arial Unicode MS" w:hAnsiTheme="majorHAnsi" w:cs="Gill Sans"/>
                <w:color w:val="auto"/>
                <w:lang w:val="en-AU"/>
              </w:rPr>
              <w:fldChar w:fldCharType="end"/>
            </w:r>
            <w:bookmarkEnd w:id="4"/>
            <w:r w:rsidR="00BC0BCF" w:rsidRPr="00574342">
              <w:rPr>
                <w:rFonts w:asciiTheme="majorHAnsi" w:eastAsia="Arial Unicode MS" w:hAnsiTheme="majorHAnsi" w:cs="Gill Sans"/>
                <w:color w:val="auto"/>
                <w:lang w:val="en-AU"/>
              </w:rPr>
              <w:t xml:space="preserve"> </w:t>
            </w:r>
            <w:r w:rsidRPr="00574342">
              <w:rPr>
                <w:rFonts w:asciiTheme="majorHAnsi" w:eastAsia="Arial Unicode MS" w:hAnsiTheme="majorHAnsi" w:cs="Gill Sans"/>
                <w:color w:val="auto"/>
                <w:lang w:val="en-AU"/>
              </w:rPr>
              <w:t xml:space="preserve"> </w:t>
            </w:r>
            <w:r w:rsidR="006E6039" w:rsidRPr="00574342">
              <w:rPr>
                <w:rFonts w:asciiTheme="majorHAnsi" w:eastAsia="Arial Unicode MS" w:hAnsiTheme="majorHAnsi" w:cs="Gill Sans"/>
                <w:color w:val="0000FF"/>
                <w:lang w:val="en-AU"/>
              </w:rPr>
              <w:t>Extension</w:t>
            </w:r>
            <w:r w:rsidR="00970CEB" w:rsidRPr="00574342">
              <w:rPr>
                <w:rFonts w:asciiTheme="majorHAnsi" w:eastAsia="Arial Unicode MS" w:hAnsiTheme="majorHAnsi" w:cs="Gill Sans"/>
                <w:color w:val="0000FF"/>
                <w:lang w:val="en-AU"/>
              </w:rPr>
              <w:t>/ Amendment</w:t>
            </w:r>
            <w:r w:rsidR="00BC0BCF" w:rsidRPr="00574342">
              <w:rPr>
                <w:rFonts w:asciiTheme="majorHAnsi" w:eastAsia="Arial Unicode MS" w:hAnsiTheme="majorHAnsi" w:cs="Gill Sans"/>
                <w:color w:val="0000FF"/>
                <w:lang w:val="en-AU"/>
              </w:rPr>
              <w:t xml:space="preserve"> </w:t>
            </w:r>
          </w:p>
        </w:tc>
      </w:tr>
      <w:tr w:rsidR="005239BE" w:rsidRPr="00574342" w14:paraId="0DBD4E93" w14:textId="77777777" w:rsidTr="00BA75A5">
        <w:tc>
          <w:tcPr>
            <w:tcW w:w="2430" w:type="dxa"/>
            <w:gridSpan w:val="2"/>
            <w:tcBorders>
              <w:top w:val="single" w:sz="8" w:space="0" w:color="6D6D6D"/>
              <w:left w:val="single" w:sz="8" w:space="0" w:color="6D6D6D"/>
              <w:bottom w:val="single" w:sz="8" w:space="0" w:color="6D6D6D"/>
              <w:right w:val="single" w:sz="8" w:space="0" w:color="6D6D6D"/>
            </w:tcBorders>
            <w:shd w:val="clear" w:color="auto" w:fill="auto"/>
          </w:tcPr>
          <w:p w14:paraId="0DBD4E8B" w14:textId="77777777" w:rsidR="00182B46" w:rsidRPr="00182B46" w:rsidRDefault="00182B46" w:rsidP="00182B46">
            <w:pPr>
              <w:spacing w:before="60" w:after="60" w:line="240" w:lineRule="auto"/>
              <w:rPr>
                <w:rFonts w:asciiTheme="majorHAnsi" w:eastAsia="Arial Unicode MS" w:hAnsiTheme="majorHAnsi" w:cs="Gill Sans"/>
                <w:color w:val="auto"/>
                <w:lang w:val="en-AU"/>
              </w:rPr>
            </w:pPr>
            <w:r w:rsidRPr="00182B46">
              <w:rPr>
                <w:rFonts w:asciiTheme="majorHAnsi" w:eastAsia="Arial Unicode MS" w:hAnsiTheme="majorHAnsi" w:cs="Gill Sans"/>
                <w:color w:val="auto"/>
                <w:lang w:val="en-AU"/>
              </w:rPr>
              <w:t xml:space="preserve">Workplace of Consultant (Duty Station): </w:t>
            </w:r>
          </w:p>
          <w:p w14:paraId="0DBD4E8C" w14:textId="77777777" w:rsidR="00182B46" w:rsidRPr="00182B46" w:rsidRDefault="00182B46" w:rsidP="00182B46">
            <w:pPr>
              <w:spacing w:before="60" w:after="60" w:line="240" w:lineRule="auto"/>
              <w:rPr>
                <w:rFonts w:asciiTheme="majorHAnsi" w:eastAsia="Arial Unicode MS" w:hAnsiTheme="majorHAnsi" w:cs="Gill Sans"/>
                <w:color w:val="auto"/>
                <w:lang w:val="en-AU"/>
              </w:rPr>
            </w:pPr>
          </w:p>
          <w:p w14:paraId="621D08F5" w14:textId="77777777" w:rsidR="00EE39C2" w:rsidRPr="00335DAA" w:rsidRDefault="00EE39C2" w:rsidP="00EE39C2">
            <w:pPr>
              <w:spacing w:line="240" w:lineRule="auto"/>
              <w:rPr>
                <w:rFonts w:ascii="Cambria" w:eastAsia="Arial Unicode MS" w:hAnsi="Cambria" w:cs="Gill Sans"/>
                <w:i/>
                <w:color w:val="auto"/>
                <w:lang w:val="en-AU"/>
              </w:rPr>
            </w:pPr>
            <w:r>
              <w:rPr>
                <w:rFonts w:ascii="Cambria" w:eastAsia="Arial Unicode MS" w:hAnsi="Cambria" w:cs="Gill Sans"/>
                <w:i/>
                <w:color w:val="auto"/>
                <w:lang w:val="en-AU"/>
              </w:rPr>
              <w:t>Home-based</w:t>
            </w:r>
          </w:p>
          <w:p w14:paraId="0DBD4E8E" w14:textId="4BD9370C" w:rsidR="00182B46" w:rsidRPr="00574342" w:rsidRDefault="00EE39C2" w:rsidP="00EE39C2">
            <w:pPr>
              <w:spacing w:before="60" w:after="60" w:line="240" w:lineRule="auto"/>
              <w:rPr>
                <w:rFonts w:asciiTheme="majorHAnsi" w:eastAsia="Arial Unicode MS" w:hAnsiTheme="majorHAnsi" w:cs="Gill Sans"/>
                <w:color w:val="auto"/>
                <w:lang w:val="en-AU"/>
              </w:rPr>
            </w:pPr>
            <w:r>
              <w:rPr>
                <w:rFonts w:asciiTheme="majorHAnsi" w:eastAsia="Arial Unicode MS" w:hAnsiTheme="majorHAnsi" w:cs="Gill Sans"/>
                <w:color w:val="auto"/>
                <w:lang w:val="en-AU"/>
              </w:rPr>
              <w:t>(Jakarta)</w:t>
            </w:r>
          </w:p>
        </w:tc>
        <w:tc>
          <w:tcPr>
            <w:tcW w:w="3330" w:type="dxa"/>
            <w:gridSpan w:val="7"/>
            <w:tcBorders>
              <w:top w:val="single" w:sz="8" w:space="0" w:color="6D6D6D"/>
              <w:left w:val="single" w:sz="8" w:space="0" w:color="6D6D6D"/>
              <w:bottom w:val="single" w:sz="8" w:space="0" w:color="6D6D6D"/>
              <w:right w:val="single" w:sz="8" w:space="0" w:color="6D6D6D"/>
            </w:tcBorders>
            <w:shd w:val="clear" w:color="auto" w:fill="auto"/>
          </w:tcPr>
          <w:p w14:paraId="0DBD4E8F" w14:textId="186156BC" w:rsidR="00BC0BCF" w:rsidRPr="00F542F6" w:rsidRDefault="00C969FF" w:rsidP="009C6175">
            <w:pPr>
              <w:spacing w:before="60" w:after="60" w:line="240" w:lineRule="auto"/>
              <w:rPr>
                <w:rFonts w:asciiTheme="majorHAnsi" w:eastAsia="Arial Unicode MS" w:hAnsiTheme="majorHAnsi" w:cs="Gill Sans"/>
                <w:color w:val="auto"/>
                <w:lang w:val="en-AU"/>
              </w:rPr>
            </w:pPr>
            <w:r w:rsidRPr="00F542F6">
              <w:rPr>
                <w:rFonts w:asciiTheme="majorHAnsi" w:eastAsia="Arial Unicode MS" w:hAnsiTheme="majorHAnsi" w:cs="Gill Sans"/>
                <w:color w:val="auto"/>
                <w:lang w:val="en-AU"/>
              </w:rPr>
              <w:t>Rate</w:t>
            </w:r>
            <w:r w:rsidR="00AA5778">
              <w:rPr>
                <w:rFonts w:asciiTheme="majorHAnsi" w:eastAsia="Arial Unicode MS" w:hAnsiTheme="majorHAnsi" w:cs="Gill Sans"/>
                <w:color w:val="auto"/>
                <w:lang w:val="en-AU"/>
              </w:rPr>
              <w:t>: Professional fee</w:t>
            </w:r>
          </w:p>
          <w:p w14:paraId="5286F583" w14:textId="77777777" w:rsidR="00EE39C2" w:rsidRPr="00574342" w:rsidRDefault="00EE39C2" w:rsidP="009C6175">
            <w:pPr>
              <w:spacing w:before="60" w:after="60" w:line="240" w:lineRule="auto"/>
              <w:rPr>
                <w:rFonts w:asciiTheme="majorHAnsi" w:eastAsia="Arial Unicode MS" w:hAnsiTheme="majorHAnsi" w:cs="Gill Sans"/>
                <w:i/>
                <w:color w:val="auto"/>
                <w:lang w:val="en-AU"/>
              </w:rPr>
            </w:pPr>
          </w:p>
          <w:p w14:paraId="0DBD4E90" w14:textId="77777777" w:rsidR="00DA5361" w:rsidRPr="00CD0C99" w:rsidRDefault="00011046" w:rsidP="00EC7493">
            <w:pPr>
              <w:spacing w:before="60" w:after="60" w:line="240" w:lineRule="auto"/>
              <w:rPr>
                <w:rFonts w:asciiTheme="majorHAnsi" w:eastAsia="Arial Unicode MS" w:hAnsiTheme="majorHAnsi" w:cs="Gill Sans"/>
                <w:color w:val="auto"/>
                <w:u w:val="single"/>
                <w:lang w:val="en-AU"/>
              </w:rPr>
            </w:pPr>
            <w:r w:rsidRPr="00CD0C99">
              <w:rPr>
                <w:rFonts w:asciiTheme="majorHAnsi" w:eastAsia="Arial Unicode MS" w:hAnsiTheme="majorHAnsi" w:cs="Gill Sans"/>
                <w:color w:val="auto"/>
                <w:u w:val="single"/>
                <w:lang w:val="en-AU"/>
              </w:rPr>
              <w:t>Estimated l</w:t>
            </w:r>
            <w:r w:rsidR="00C83CC9" w:rsidRPr="00CD0C99">
              <w:rPr>
                <w:rFonts w:asciiTheme="majorHAnsi" w:eastAsia="Arial Unicode MS" w:hAnsiTheme="majorHAnsi" w:cs="Gill Sans"/>
                <w:color w:val="auto"/>
                <w:u w:val="single"/>
                <w:lang w:val="en-AU"/>
              </w:rPr>
              <w:t xml:space="preserve">ocal </w:t>
            </w:r>
            <w:r w:rsidRPr="00CD0C99">
              <w:rPr>
                <w:rFonts w:asciiTheme="majorHAnsi" w:eastAsia="Arial Unicode MS" w:hAnsiTheme="majorHAnsi" w:cs="Gill Sans"/>
                <w:color w:val="auto"/>
                <w:u w:val="single"/>
                <w:lang w:val="en-AU"/>
              </w:rPr>
              <w:t>t</w:t>
            </w:r>
            <w:r w:rsidR="00DA5361" w:rsidRPr="00CD0C99">
              <w:rPr>
                <w:rFonts w:asciiTheme="majorHAnsi" w:eastAsia="Arial Unicode MS" w:hAnsiTheme="majorHAnsi" w:cs="Gill Sans"/>
                <w:color w:val="auto"/>
                <w:u w:val="single"/>
                <w:lang w:val="en-AU"/>
              </w:rPr>
              <w:t>ravel cost</w:t>
            </w:r>
          </w:p>
          <w:p w14:paraId="0DBD4E91" w14:textId="4A5E5E28" w:rsidR="00DA5361" w:rsidRPr="00574342" w:rsidRDefault="00EE39C2" w:rsidP="00011046">
            <w:pPr>
              <w:spacing w:before="60" w:after="60" w:line="240" w:lineRule="auto"/>
              <w:rPr>
                <w:rFonts w:asciiTheme="majorHAnsi" w:eastAsia="Arial Unicode MS" w:hAnsiTheme="majorHAnsi" w:cs="Gill Sans"/>
                <w:i/>
                <w:color w:val="auto"/>
                <w:lang w:val="en-AU"/>
              </w:rPr>
            </w:pPr>
            <w:r w:rsidRPr="00FA6012">
              <w:rPr>
                <w:rFonts w:ascii="Cambria" w:eastAsia="Arial Unicode MS" w:hAnsi="Cambria" w:cs="Gill Sans"/>
                <w:i/>
                <w:color w:val="auto"/>
                <w:lang w:val="en-AU"/>
              </w:rPr>
              <w:t>There is no travel required</w:t>
            </w:r>
            <w:r>
              <w:rPr>
                <w:rFonts w:ascii="Cambria" w:eastAsia="Arial Unicode MS" w:hAnsi="Cambria" w:cs="Gill Sans"/>
                <w:i/>
                <w:color w:val="auto"/>
                <w:lang w:val="en-AU"/>
              </w:rPr>
              <w:t xml:space="preserve"> outside Jakarta for this assignment.</w:t>
            </w:r>
          </w:p>
        </w:tc>
        <w:tc>
          <w:tcPr>
            <w:tcW w:w="4950" w:type="dxa"/>
            <w:gridSpan w:val="7"/>
            <w:tcBorders>
              <w:top w:val="single" w:sz="8" w:space="0" w:color="6D6D6D"/>
              <w:left w:val="single" w:sz="8" w:space="0" w:color="6D6D6D"/>
              <w:bottom w:val="single" w:sz="8" w:space="0" w:color="6D6D6D"/>
              <w:right w:val="single" w:sz="8" w:space="0" w:color="6D6D6D"/>
            </w:tcBorders>
            <w:shd w:val="clear" w:color="auto" w:fill="auto"/>
          </w:tcPr>
          <w:p w14:paraId="0C516A80" w14:textId="77777777" w:rsidR="005239BE" w:rsidRDefault="00C969FF" w:rsidP="00C302B1">
            <w:pPr>
              <w:spacing w:before="60" w:after="60" w:line="240" w:lineRule="auto"/>
              <w:rPr>
                <w:rFonts w:asciiTheme="majorHAnsi" w:eastAsia="Arial Unicode MS" w:hAnsiTheme="majorHAnsi" w:cs="Gill Sans"/>
                <w:color w:val="0000FF"/>
                <w:lang w:val="en-AU"/>
              </w:rPr>
            </w:pPr>
            <w:r w:rsidRPr="007E1099">
              <w:rPr>
                <w:rFonts w:asciiTheme="majorHAnsi" w:eastAsia="Arial Unicode MS" w:hAnsiTheme="majorHAnsi" w:cs="Gill Sans"/>
                <w:color w:val="auto"/>
                <w:lang w:val="en-AU"/>
              </w:rPr>
              <w:t>Justification</w:t>
            </w:r>
            <w:r w:rsidR="00DA5361" w:rsidRPr="007E1099">
              <w:rPr>
                <w:rFonts w:asciiTheme="majorHAnsi" w:eastAsia="Arial Unicode MS" w:hAnsiTheme="majorHAnsi" w:cs="Gill Sans"/>
                <w:color w:val="auto"/>
                <w:lang w:val="en-AU"/>
              </w:rPr>
              <w:t xml:space="preserve"> or Refer to NFR</w:t>
            </w:r>
            <w:r w:rsidR="00095160" w:rsidRPr="007E1099">
              <w:rPr>
                <w:rFonts w:asciiTheme="majorHAnsi" w:eastAsia="Arial Unicode MS" w:hAnsiTheme="majorHAnsi" w:cs="Gill Sans"/>
                <w:color w:val="auto"/>
                <w:lang w:val="en-AU"/>
              </w:rPr>
              <w:t xml:space="preserve"> (Note for Record</w:t>
            </w:r>
            <w:r w:rsidR="006E6039" w:rsidRPr="007E1099">
              <w:rPr>
                <w:rFonts w:asciiTheme="majorHAnsi" w:eastAsia="Arial Unicode MS" w:hAnsiTheme="majorHAnsi" w:cs="Gill Sans"/>
                <w:color w:val="auto"/>
                <w:lang w:val="en-AU"/>
              </w:rPr>
              <w:t>- for extension/ amendment</w:t>
            </w:r>
            <w:r w:rsidR="00095160" w:rsidRPr="007E1099">
              <w:rPr>
                <w:rFonts w:asciiTheme="majorHAnsi" w:eastAsia="Arial Unicode MS" w:hAnsiTheme="majorHAnsi" w:cs="Gill Sans"/>
                <w:color w:val="auto"/>
                <w:lang w:val="en-AU"/>
              </w:rPr>
              <w:t>)</w:t>
            </w:r>
            <w:r w:rsidR="00480789" w:rsidRPr="007E1099">
              <w:rPr>
                <w:rFonts w:asciiTheme="majorHAnsi" w:eastAsia="Arial Unicode MS" w:hAnsiTheme="majorHAnsi" w:cs="Gill Sans"/>
                <w:color w:val="0000FF"/>
                <w:lang w:val="en-AU"/>
              </w:rPr>
              <w:t xml:space="preserve"> </w:t>
            </w:r>
          </w:p>
          <w:p w14:paraId="5DBEE550" w14:textId="77777777" w:rsidR="007E1099" w:rsidRPr="007E1099" w:rsidRDefault="007E1099" w:rsidP="00C302B1">
            <w:pPr>
              <w:spacing w:before="60" w:after="60" w:line="240" w:lineRule="auto"/>
              <w:rPr>
                <w:rFonts w:asciiTheme="majorHAnsi" w:eastAsia="Arial Unicode MS" w:hAnsiTheme="majorHAnsi" w:cs="Gill Sans"/>
                <w:color w:val="0000FF"/>
                <w:lang w:val="en-AU"/>
              </w:rPr>
            </w:pPr>
          </w:p>
          <w:p w14:paraId="0DBD4E92" w14:textId="49BA269C" w:rsidR="00BE657F" w:rsidRPr="00574342" w:rsidRDefault="00BE657F" w:rsidP="00C302B1">
            <w:pPr>
              <w:spacing w:before="60" w:after="60" w:line="240" w:lineRule="auto"/>
              <w:rPr>
                <w:rFonts w:asciiTheme="majorHAnsi" w:eastAsia="Arial Unicode MS" w:hAnsiTheme="majorHAnsi" w:cs="Gill Sans"/>
                <w:i/>
                <w:color w:val="auto"/>
                <w:lang w:val="en-AU"/>
              </w:rPr>
            </w:pPr>
            <w:r w:rsidRPr="00BE657F">
              <w:rPr>
                <w:rFonts w:asciiTheme="majorHAnsi" w:eastAsia="Arial Unicode MS" w:hAnsiTheme="majorHAnsi" w:cs="Gill Sans"/>
                <w:i/>
                <w:color w:val="auto"/>
                <w:lang w:val="en-AU"/>
              </w:rPr>
              <w:t>N/A</w:t>
            </w:r>
          </w:p>
        </w:tc>
      </w:tr>
      <w:tr w:rsidR="007268AD" w:rsidRPr="00574342" w14:paraId="0DBD4E95" w14:textId="77777777" w:rsidTr="00A26DEC">
        <w:tc>
          <w:tcPr>
            <w:tcW w:w="10710" w:type="dxa"/>
            <w:gridSpan w:val="16"/>
            <w:tcBorders>
              <w:top w:val="single" w:sz="8" w:space="0" w:color="6D6D6D"/>
              <w:bottom w:val="nil"/>
              <w:right w:val="single" w:sz="4" w:space="0" w:color="auto"/>
            </w:tcBorders>
            <w:shd w:val="clear" w:color="auto" w:fill="auto"/>
          </w:tcPr>
          <w:p w14:paraId="0DBD4E94" w14:textId="1E857F34" w:rsidR="007268AD" w:rsidRPr="00574342" w:rsidRDefault="007268AD" w:rsidP="00C302B1">
            <w:pPr>
              <w:spacing w:before="120" w:after="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 </w:t>
            </w:r>
            <w:r w:rsidR="00C302B1">
              <w:rPr>
                <w:rFonts w:asciiTheme="majorHAnsi" w:eastAsia="Arial Unicode MS" w:hAnsiTheme="majorHAnsi" w:cs="Gill Sans"/>
                <w:color w:val="auto"/>
                <w:lang w:val="en-AU"/>
              </w:rPr>
              <w:fldChar w:fldCharType="begin">
                <w:ffData>
                  <w:name w:val="Check1"/>
                  <w:enabled/>
                  <w:calcOnExit w:val="0"/>
                  <w:checkBox>
                    <w:sizeAuto/>
                    <w:default w:val="0"/>
                  </w:checkBox>
                </w:ffData>
              </w:fldChar>
            </w:r>
            <w:bookmarkStart w:id="5" w:name="Check1"/>
            <w:r w:rsidR="00C302B1">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C302B1">
              <w:rPr>
                <w:rFonts w:asciiTheme="majorHAnsi" w:eastAsia="Arial Unicode MS" w:hAnsiTheme="majorHAnsi" w:cs="Gill Sans"/>
                <w:color w:val="auto"/>
                <w:lang w:val="en-AU"/>
              </w:rPr>
              <w:fldChar w:fldCharType="end"/>
            </w:r>
            <w:bookmarkEnd w:id="5"/>
            <w:r w:rsidR="00394C47" w:rsidRPr="00574342">
              <w:rPr>
                <w:rFonts w:asciiTheme="majorHAnsi" w:eastAsia="Arial Unicode MS" w:hAnsiTheme="majorHAnsi" w:cs="Gill Sans"/>
                <w:color w:val="auto"/>
                <w:lang w:val="en-AU"/>
              </w:rPr>
              <w:t xml:space="preserve"> </w:t>
            </w:r>
            <w:r w:rsidRPr="00574342">
              <w:rPr>
                <w:rFonts w:asciiTheme="majorHAnsi" w:eastAsia="Arial Unicode MS" w:hAnsiTheme="majorHAnsi" w:cs="Gill Sans"/>
                <w:color w:val="auto"/>
                <w:lang w:val="en-AU"/>
              </w:rPr>
              <w:t>Consultants will be selected from the existing roster</w:t>
            </w:r>
          </w:p>
        </w:tc>
      </w:tr>
      <w:tr w:rsidR="005239BE" w:rsidRPr="00574342" w14:paraId="0DBD4E97" w14:textId="77777777" w:rsidTr="00A26DEC">
        <w:tc>
          <w:tcPr>
            <w:tcW w:w="10710" w:type="dxa"/>
            <w:gridSpan w:val="16"/>
            <w:tcBorders>
              <w:top w:val="nil"/>
              <w:right w:val="single" w:sz="4" w:space="0" w:color="auto"/>
            </w:tcBorders>
            <w:shd w:val="clear" w:color="auto" w:fill="auto"/>
          </w:tcPr>
          <w:p w14:paraId="0DBD4E96" w14:textId="5D74E713" w:rsidR="005239BE" w:rsidRPr="00574342" w:rsidRDefault="0037722A" w:rsidP="00A2630D">
            <w:pPr>
              <w:spacing w:before="120" w:after="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 </w:t>
            </w:r>
            <w:r w:rsidR="00A2630D">
              <w:rPr>
                <w:rFonts w:asciiTheme="majorHAnsi" w:eastAsia="Arial Unicode MS" w:hAnsiTheme="majorHAnsi" w:cs="Gill Sans"/>
                <w:color w:val="auto"/>
                <w:lang w:val="en-AU"/>
              </w:rPr>
              <w:fldChar w:fldCharType="begin">
                <w:ffData>
                  <w:name w:val=""/>
                  <w:enabled/>
                  <w:calcOnExit w:val="0"/>
                  <w:checkBox>
                    <w:sizeAuto/>
                    <w:default w:val="1"/>
                  </w:checkBox>
                </w:ffData>
              </w:fldChar>
            </w:r>
            <w:r w:rsidR="00A2630D">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A2630D">
              <w:rPr>
                <w:rFonts w:asciiTheme="majorHAnsi" w:eastAsia="Arial Unicode MS" w:hAnsiTheme="majorHAnsi" w:cs="Gill Sans"/>
                <w:color w:val="auto"/>
                <w:lang w:val="en-AU"/>
              </w:rPr>
              <w:fldChar w:fldCharType="end"/>
            </w:r>
            <w:r w:rsidR="00394C47" w:rsidRPr="00574342">
              <w:rPr>
                <w:rFonts w:asciiTheme="majorHAnsi" w:eastAsia="Arial Unicode MS" w:hAnsiTheme="majorHAnsi" w:cs="Gill Sans"/>
                <w:color w:val="auto"/>
                <w:lang w:val="en-AU"/>
              </w:rPr>
              <w:t xml:space="preserve"> </w:t>
            </w:r>
            <w:r w:rsidR="005239BE" w:rsidRPr="00574342">
              <w:rPr>
                <w:rFonts w:asciiTheme="majorHAnsi" w:eastAsia="Arial Unicode MS" w:hAnsiTheme="majorHAnsi" w:cs="Gill Sans"/>
                <w:color w:val="auto"/>
                <w:lang w:val="en-AU"/>
              </w:rPr>
              <w:t>Consultants will be selected in a competitive sourcing process (advertising</w:t>
            </w:r>
            <w:r w:rsidR="0065276F">
              <w:rPr>
                <w:rFonts w:asciiTheme="majorHAnsi" w:eastAsia="Arial Unicode MS" w:hAnsiTheme="majorHAnsi" w:cs="Gill Sans"/>
                <w:color w:val="auto"/>
                <w:lang w:val="en-AU"/>
              </w:rPr>
              <w:t xml:space="preserve"> in TMS</w:t>
            </w:r>
            <w:r w:rsidR="005239BE" w:rsidRPr="00574342">
              <w:rPr>
                <w:rFonts w:asciiTheme="majorHAnsi" w:eastAsia="Arial Unicode MS" w:hAnsiTheme="majorHAnsi" w:cs="Gill Sans"/>
                <w:color w:val="auto"/>
                <w:lang w:val="en-AU"/>
              </w:rPr>
              <w:t xml:space="preserve"> &amp; interview)</w:t>
            </w:r>
          </w:p>
        </w:tc>
      </w:tr>
      <w:tr w:rsidR="007268AD" w:rsidRPr="00574342" w14:paraId="0DBD4E9C" w14:textId="77777777" w:rsidTr="00A26DEC">
        <w:tc>
          <w:tcPr>
            <w:tcW w:w="4140" w:type="dxa"/>
            <w:gridSpan w:val="6"/>
            <w:tcBorders>
              <w:bottom w:val="nil"/>
            </w:tcBorders>
            <w:shd w:val="clear" w:color="auto" w:fill="auto"/>
            <w:noWrap/>
            <w:hideMark/>
          </w:tcPr>
          <w:p w14:paraId="0DBD4E98" w14:textId="77777777" w:rsidR="007268AD" w:rsidRPr="00574342" w:rsidRDefault="007268AD" w:rsidP="00B5534C">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Supervisor:</w:t>
            </w:r>
          </w:p>
        </w:tc>
        <w:tc>
          <w:tcPr>
            <w:tcW w:w="1980" w:type="dxa"/>
            <w:gridSpan w:val="4"/>
            <w:tcBorders>
              <w:bottom w:val="nil"/>
            </w:tcBorders>
            <w:shd w:val="clear" w:color="auto" w:fill="auto"/>
            <w:noWrap/>
            <w:hideMark/>
          </w:tcPr>
          <w:p w14:paraId="0DBD4E99" w14:textId="77777777" w:rsidR="007268AD" w:rsidRPr="00574342" w:rsidRDefault="007268AD" w:rsidP="00B5534C">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Start Date:</w:t>
            </w:r>
          </w:p>
        </w:tc>
        <w:tc>
          <w:tcPr>
            <w:tcW w:w="2070" w:type="dxa"/>
            <w:gridSpan w:val="4"/>
            <w:tcBorders>
              <w:bottom w:val="nil"/>
            </w:tcBorders>
            <w:shd w:val="clear" w:color="auto" w:fill="auto"/>
          </w:tcPr>
          <w:p w14:paraId="0DBD4E9A" w14:textId="77777777" w:rsidR="007268AD" w:rsidRPr="00574342" w:rsidRDefault="007268AD" w:rsidP="00B5534C">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End Date</w:t>
            </w:r>
          </w:p>
        </w:tc>
        <w:tc>
          <w:tcPr>
            <w:tcW w:w="2520" w:type="dxa"/>
            <w:gridSpan w:val="2"/>
            <w:tcBorders>
              <w:bottom w:val="nil"/>
            </w:tcBorders>
            <w:shd w:val="clear" w:color="auto" w:fill="auto"/>
          </w:tcPr>
          <w:p w14:paraId="0DBD4E9B" w14:textId="77777777" w:rsidR="007268AD" w:rsidRPr="00574342" w:rsidRDefault="00D71813" w:rsidP="00B5534C">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Number </w:t>
            </w:r>
            <w:r w:rsidR="007268AD" w:rsidRPr="00574342">
              <w:rPr>
                <w:rFonts w:asciiTheme="majorHAnsi" w:eastAsia="Arial Unicode MS" w:hAnsiTheme="majorHAnsi" w:cs="Gill Sans"/>
                <w:color w:val="auto"/>
                <w:lang w:val="en-AU"/>
              </w:rPr>
              <w:t>of Days</w:t>
            </w:r>
            <w:r w:rsidR="00DA5361" w:rsidRPr="00574342">
              <w:rPr>
                <w:rFonts w:asciiTheme="majorHAnsi" w:eastAsia="Arial Unicode MS" w:hAnsiTheme="majorHAnsi" w:cs="Gill Sans"/>
                <w:color w:val="auto"/>
                <w:lang w:val="en-AU"/>
              </w:rPr>
              <w:t xml:space="preserve"> (working)</w:t>
            </w:r>
          </w:p>
        </w:tc>
      </w:tr>
      <w:tr w:rsidR="00C969FF" w:rsidRPr="00574342" w14:paraId="0DBD4EA1" w14:textId="77777777" w:rsidTr="00B5534C">
        <w:trPr>
          <w:trHeight w:val="513"/>
        </w:trPr>
        <w:tc>
          <w:tcPr>
            <w:tcW w:w="4140" w:type="dxa"/>
            <w:gridSpan w:val="6"/>
            <w:tcBorders>
              <w:top w:val="nil"/>
            </w:tcBorders>
            <w:shd w:val="clear" w:color="auto" w:fill="auto"/>
            <w:noWrap/>
          </w:tcPr>
          <w:p w14:paraId="0DBD4E9D" w14:textId="43398741" w:rsidR="00DA5361" w:rsidRPr="00F76055" w:rsidRDefault="00F76055" w:rsidP="00F76055">
            <w:pPr>
              <w:spacing w:before="60" w:after="60" w:line="240" w:lineRule="auto"/>
              <w:rPr>
                <w:rFonts w:asciiTheme="majorHAnsi" w:eastAsia="Arial Unicode MS" w:hAnsiTheme="majorHAnsi" w:cs="Gill Sans"/>
                <w:i/>
                <w:color w:val="auto"/>
              </w:rPr>
            </w:pPr>
            <w:r>
              <w:rPr>
                <w:rFonts w:ascii="Cambria" w:eastAsia="Arial Unicode MS" w:hAnsi="Cambria" w:cs="Gill Sans"/>
                <w:i/>
                <w:color w:val="auto"/>
                <w:lang w:val="en-AU"/>
              </w:rPr>
              <w:t>Chief of PM&amp;E unit</w:t>
            </w:r>
          </w:p>
        </w:tc>
        <w:tc>
          <w:tcPr>
            <w:tcW w:w="1980" w:type="dxa"/>
            <w:gridSpan w:val="4"/>
            <w:tcBorders>
              <w:top w:val="nil"/>
            </w:tcBorders>
            <w:shd w:val="clear" w:color="auto" w:fill="auto"/>
            <w:noWrap/>
          </w:tcPr>
          <w:p w14:paraId="0DBD4E9E" w14:textId="5F40DF76" w:rsidR="00C969FF" w:rsidRPr="00574342" w:rsidRDefault="00F76055" w:rsidP="007632B7">
            <w:pPr>
              <w:spacing w:before="60" w:after="60" w:line="240" w:lineRule="auto"/>
              <w:rPr>
                <w:rFonts w:asciiTheme="majorHAnsi" w:eastAsia="Arial Unicode MS" w:hAnsiTheme="majorHAnsi" w:cs="Gill Sans"/>
                <w:i/>
                <w:color w:val="auto"/>
                <w:highlight w:val="lightGray"/>
                <w:lang w:val="en-AU"/>
              </w:rPr>
            </w:pPr>
            <w:r>
              <w:rPr>
                <w:rFonts w:ascii="Cambria" w:eastAsia="Arial Unicode MS" w:hAnsi="Cambria" w:cs="Gill Sans"/>
                <w:i/>
                <w:color w:val="auto"/>
                <w:lang w:val="en-AU"/>
              </w:rPr>
              <w:t>30/06</w:t>
            </w:r>
            <w:r w:rsidRPr="008D1268">
              <w:rPr>
                <w:rFonts w:ascii="Cambria" w:eastAsia="Arial Unicode MS" w:hAnsi="Cambria" w:cs="Gill Sans"/>
                <w:i/>
                <w:color w:val="auto"/>
                <w:lang w:val="en-AU"/>
              </w:rPr>
              <w:t>/</w:t>
            </w:r>
            <w:r>
              <w:rPr>
                <w:rFonts w:ascii="Cambria" w:eastAsia="Arial Unicode MS" w:hAnsi="Cambria" w:cs="Gill Sans"/>
                <w:i/>
                <w:color w:val="auto"/>
                <w:lang w:val="en-AU"/>
              </w:rPr>
              <w:t>2017</w:t>
            </w:r>
          </w:p>
        </w:tc>
        <w:tc>
          <w:tcPr>
            <w:tcW w:w="2070" w:type="dxa"/>
            <w:gridSpan w:val="4"/>
            <w:tcBorders>
              <w:top w:val="nil"/>
            </w:tcBorders>
            <w:shd w:val="clear" w:color="auto" w:fill="auto"/>
          </w:tcPr>
          <w:p w14:paraId="0DBD4E9F" w14:textId="2990DBB6" w:rsidR="00C969FF" w:rsidRPr="00574342" w:rsidRDefault="00F76055" w:rsidP="009254AC">
            <w:pPr>
              <w:spacing w:before="60" w:after="60" w:line="240" w:lineRule="auto"/>
              <w:rPr>
                <w:rFonts w:asciiTheme="majorHAnsi" w:eastAsia="Arial Unicode MS" w:hAnsiTheme="majorHAnsi" w:cs="Gill Sans"/>
                <w:i/>
                <w:color w:val="auto"/>
                <w:highlight w:val="lightGray"/>
                <w:lang w:val="en-AU"/>
              </w:rPr>
            </w:pPr>
            <w:r>
              <w:rPr>
                <w:rFonts w:ascii="Cambria" w:eastAsia="Arial Unicode MS" w:hAnsi="Cambria" w:cs="Gill Sans"/>
                <w:i/>
                <w:color w:val="auto"/>
                <w:lang w:val="en-AU"/>
              </w:rPr>
              <w:t>31/08/2017</w:t>
            </w:r>
          </w:p>
        </w:tc>
        <w:tc>
          <w:tcPr>
            <w:tcW w:w="2520" w:type="dxa"/>
            <w:gridSpan w:val="2"/>
            <w:tcBorders>
              <w:top w:val="nil"/>
            </w:tcBorders>
            <w:shd w:val="clear" w:color="auto" w:fill="auto"/>
          </w:tcPr>
          <w:p w14:paraId="0DBD4EA0" w14:textId="66386DF0" w:rsidR="00C969FF" w:rsidRPr="00574342" w:rsidRDefault="003E5B28" w:rsidP="00C302B1">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 </w:t>
            </w:r>
            <w:r w:rsidR="00F76055">
              <w:rPr>
                <w:rFonts w:ascii="Cambria" w:eastAsia="Arial Unicode MS" w:hAnsi="Cambria" w:cs="Gill Sans"/>
                <w:i/>
                <w:color w:val="auto"/>
                <w:lang w:val="en-AU"/>
              </w:rPr>
              <w:t>20 (part-time, two months)</w:t>
            </w:r>
          </w:p>
        </w:tc>
      </w:tr>
      <w:tr w:rsidR="00C969FF" w:rsidRPr="00574342" w14:paraId="0DBD4EA3" w14:textId="77777777" w:rsidTr="005B6A50">
        <w:tc>
          <w:tcPr>
            <w:tcW w:w="10710" w:type="dxa"/>
            <w:gridSpan w:val="16"/>
            <w:tcBorders>
              <w:bottom w:val="single" w:sz="4" w:space="0" w:color="auto"/>
            </w:tcBorders>
            <w:shd w:val="clear" w:color="auto" w:fill="auto"/>
            <w:noWrap/>
            <w:hideMark/>
          </w:tcPr>
          <w:p w14:paraId="5D8D0908" w14:textId="77777777" w:rsidR="00C969FF" w:rsidRDefault="00C969FF" w:rsidP="00B5534C">
            <w:pPr>
              <w:spacing w:before="120"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Work Assignment Overview</w:t>
            </w:r>
            <w:r w:rsidR="002036A1">
              <w:rPr>
                <w:rFonts w:asciiTheme="majorHAnsi" w:eastAsia="Arial Unicode MS" w:hAnsiTheme="majorHAnsi" w:cs="Gill Sans"/>
                <w:color w:val="auto"/>
                <w:lang w:val="en-AU"/>
              </w:rPr>
              <w:t xml:space="preserve"> (SMART)*</w:t>
            </w:r>
          </w:p>
          <w:p w14:paraId="70F98F65" w14:textId="77777777" w:rsidR="005B6A50" w:rsidRPr="00754FD8" w:rsidRDefault="005B6A50" w:rsidP="005B6A50">
            <w:pPr>
              <w:rPr>
                <w:rFonts w:eastAsia="Times New Roman" w:cs="Arial"/>
              </w:rPr>
            </w:pPr>
            <w:r w:rsidRPr="00754FD8">
              <w:rPr>
                <w:rFonts w:eastAsia="Times New Roman" w:cs="Arial"/>
              </w:rPr>
              <w:t>National evaluation capacity and system strengthening in Indonesia is led by the National Development Planning Agency (</w:t>
            </w:r>
            <w:proofErr w:type="spellStart"/>
            <w:r w:rsidRPr="00754FD8">
              <w:rPr>
                <w:rFonts w:eastAsia="Times New Roman" w:cs="Arial"/>
              </w:rPr>
              <w:t>Bappenas</w:t>
            </w:r>
            <w:proofErr w:type="spellEnd"/>
            <w:r w:rsidRPr="00754FD8">
              <w:rPr>
                <w:rFonts w:eastAsia="Times New Roman" w:cs="Arial"/>
              </w:rPr>
              <w:t xml:space="preserve">), under the mandate and framework of relevant laws and regulations.  </w:t>
            </w:r>
            <w:proofErr w:type="spellStart"/>
            <w:r w:rsidRPr="00754FD8">
              <w:rPr>
                <w:rFonts w:eastAsia="Times New Roman" w:cs="Arial"/>
              </w:rPr>
              <w:t>Bappenas</w:t>
            </w:r>
            <w:proofErr w:type="spellEnd"/>
            <w:r w:rsidRPr="00754FD8">
              <w:rPr>
                <w:rFonts w:eastAsia="Times New Roman" w:cs="Arial"/>
              </w:rPr>
              <w:t xml:space="preserve"> is also responsible for coordinating roll-out and implementation of the SDGs in Indonesia, under broad support from development partners, including UN agencies.  This assignment is therefore not only i</w:t>
            </w:r>
            <w:bookmarkStart w:id="6" w:name="_GoBack"/>
            <w:bookmarkEnd w:id="6"/>
            <w:r w:rsidRPr="00754FD8">
              <w:rPr>
                <w:rFonts w:eastAsia="Times New Roman" w:cs="Arial"/>
              </w:rPr>
              <w:t>n support of the regional (Asia and Pacific) review, but is also expected to lead directly to concrete recommendations and opportunities for increased collaboration on national evaluation capacity development (NECD) in Indonesia.</w:t>
            </w:r>
          </w:p>
          <w:p w14:paraId="30FF0CD4" w14:textId="77777777" w:rsidR="005B6A50" w:rsidRPr="00754FD8" w:rsidRDefault="005B6A50" w:rsidP="005B6A50">
            <w:pPr>
              <w:rPr>
                <w:rFonts w:eastAsia="Times New Roman" w:cs="Arial"/>
              </w:rPr>
            </w:pPr>
          </w:p>
          <w:p w14:paraId="439BF3A9" w14:textId="77777777" w:rsidR="005B6A50" w:rsidRPr="00754FD8" w:rsidRDefault="005B6A50" w:rsidP="005B6A50">
            <w:pPr>
              <w:rPr>
                <w:rFonts w:eastAsia="Times New Roman" w:cs="Arial"/>
                <w:b/>
              </w:rPr>
            </w:pPr>
            <w:r w:rsidRPr="00754FD8">
              <w:rPr>
                <w:rFonts w:eastAsia="Times New Roman" w:cs="Arial"/>
                <w:b/>
              </w:rPr>
              <w:t>Background:</w:t>
            </w:r>
          </w:p>
          <w:p w14:paraId="50DF81A5" w14:textId="77777777" w:rsidR="005B6A50" w:rsidRPr="00754FD8" w:rsidRDefault="005B6A50" w:rsidP="005B6A50">
            <w:pPr>
              <w:rPr>
                <w:rFonts w:eastAsia="Times New Roman" w:cs="Arial"/>
                <w:b/>
              </w:rPr>
            </w:pPr>
          </w:p>
          <w:p w14:paraId="297D7C52" w14:textId="77777777" w:rsidR="005B6A50" w:rsidRPr="00754FD8" w:rsidRDefault="005B6A50" w:rsidP="005B6A50">
            <w:pPr>
              <w:tabs>
                <w:tab w:val="left" w:pos="1410"/>
              </w:tabs>
              <w:rPr>
                <w:rFonts w:cs="Arial"/>
                <w:b/>
              </w:rPr>
            </w:pPr>
            <w:r w:rsidRPr="00754FD8">
              <w:rPr>
                <w:rFonts w:cs="Arial"/>
                <w:b/>
              </w:rPr>
              <w:lastRenderedPageBreak/>
              <w:t>2.1 Background to the Regional Review</w:t>
            </w:r>
          </w:p>
          <w:p w14:paraId="4E172669" w14:textId="77777777" w:rsidR="005B6A50" w:rsidRPr="00754FD8" w:rsidRDefault="005B6A50" w:rsidP="005B6A50">
            <w:pPr>
              <w:tabs>
                <w:tab w:val="left" w:pos="1410"/>
              </w:tabs>
              <w:rPr>
                <w:rFonts w:cs="Arial"/>
                <w:b/>
              </w:rPr>
            </w:pPr>
          </w:p>
          <w:p w14:paraId="69297511" w14:textId="77777777" w:rsidR="005B6A50" w:rsidRPr="00754FD8" w:rsidRDefault="005B6A50" w:rsidP="005B6A50">
            <w:pPr>
              <w:tabs>
                <w:tab w:val="left" w:pos="1410"/>
              </w:tabs>
              <w:rPr>
                <w:rFonts w:cs="Arial"/>
              </w:rPr>
            </w:pPr>
            <w:r w:rsidRPr="00754FD8">
              <w:rPr>
                <w:rFonts w:cs="Arial"/>
              </w:rPr>
              <w:t xml:space="preserve">The regional Review of National Evaluation Systems and Capacities for Evaluating Progress Towards the SDGs aims to foster peer-to-peer learning among key stakeholders in the Asia and Pacific region in relation to evaluation and the SDGs, trigger interest in a regional State of Evaluation report, and inform global and national evaluation capacity guidance. </w:t>
            </w:r>
          </w:p>
          <w:p w14:paraId="767CEEBB" w14:textId="77777777" w:rsidR="005B6A50" w:rsidRPr="00754FD8" w:rsidRDefault="005B6A50" w:rsidP="005B6A50">
            <w:pPr>
              <w:tabs>
                <w:tab w:val="left" w:pos="1410"/>
              </w:tabs>
              <w:rPr>
                <w:rFonts w:cs="Arial"/>
              </w:rPr>
            </w:pPr>
          </w:p>
          <w:p w14:paraId="31DF68CE" w14:textId="77777777" w:rsidR="005B6A50" w:rsidRPr="00754FD8" w:rsidRDefault="005B6A50" w:rsidP="005B6A50">
            <w:pPr>
              <w:tabs>
                <w:tab w:val="left" w:pos="1410"/>
              </w:tabs>
              <w:rPr>
                <w:rFonts w:cs="Arial"/>
              </w:rPr>
            </w:pPr>
            <w:r w:rsidRPr="00754FD8">
              <w:rPr>
                <w:rFonts w:cs="Arial"/>
              </w:rPr>
              <w:t xml:space="preserve">The proposed case study is one of six proposed (in addition to Malaysia, Philippines, Nepal, Sri Lanka and Thailand) that will serve as inputs to a regional synthesis report on emerging good practices. This will be accomplished by using the case studies and regional synthesis to showcase existing national evaluation champions and emerging country practices in the region, distil key success factors, trends, and lessons, and identify areas that other countries in the region should prioritize. </w:t>
            </w:r>
          </w:p>
          <w:p w14:paraId="62C47DD3" w14:textId="77777777" w:rsidR="005B6A50" w:rsidRPr="00754FD8" w:rsidRDefault="005B6A50" w:rsidP="005B6A50">
            <w:pPr>
              <w:tabs>
                <w:tab w:val="left" w:pos="1410"/>
              </w:tabs>
              <w:rPr>
                <w:rFonts w:cs="Arial"/>
              </w:rPr>
            </w:pPr>
          </w:p>
          <w:p w14:paraId="271C0370" w14:textId="77777777" w:rsidR="005B6A50" w:rsidRPr="00754FD8" w:rsidRDefault="005B6A50" w:rsidP="005B6A50">
            <w:pPr>
              <w:tabs>
                <w:tab w:val="left" w:pos="1410"/>
              </w:tabs>
              <w:rPr>
                <w:rFonts w:cs="Arial"/>
              </w:rPr>
            </w:pPr>
            <w:r w:rsidRPr="00754FD8">
              <w:rPr>
                <w:rFonts w:cs="Arial"/>
              </w:rPr>
              <w:t>In addition, by taking a consultative approach that engages key stakeholders, the production of the case studies will be oriented to building interest and capacity in relation to evaluation and the 2030 Agenda amongst national evaluation stakeholders. The case studies and regional synthesis will also complement national reports for the High Level Political Forum (HLPF) on evaluation and the SDGs Follow-up and Review (FUR) Process.</w:t>
            </w:r>
          </w:p>
          <w:p w14:paraId="78BC95DC" w14:textId="77777777" w:rsidR="005B6A50" w:rsidRPr="00754FD8" w:rsidRDefault="005B6A50" w:rsidP="005B6A50">
            <w:pPr>
              <w:tabs>
                <w:tab w:val="left" w:pos="1410"/>
              </w:tabs>
              <w:rPr>
                <w:rFonts w:cs="Arial"/>
              </w:rPr>
            </w:pPr>
          </w:p>
          <w:p w14:paraId="75CDFF45" w14:textId="77777777" w:rsidR="005B6A50" w:rsidRPr="00754FD8" w:rsidRDefault="005B6A50" w:rsidP="005B6A50">
            <w:pPr>
              <w:tabs>
                <w:tab w:val="left" w:pos="1410"/>
              </w:tabs>
              <w:rPr>
                <w:rFonts w:cs="Arial"/>
                <w:b/>
              </w:rPr>
            </w:pPr>
            <w:r w:rsidRPr="00754FD8">
              <w:rPr>
                <w:rFonts w:cs="Arial"/>
                <w:b/>
              </w:rPr>
              <w:t>2.2 Background to the Case Study</w:t>
            </w:r>
          </w:p>
          <w:p w14:paraId="7AC6FF10" w14:textId="77777777" w:rsidR="005B6A50" w:rsidRPr="00754FD8" w:rsidRDefault="005B6A50" w:rsidP="005B6A50">
            <w:pPr>
              <w:tabs>
                <w:tab w:val="left" w:pos="1410"/>
              </w:tabs>
              <w:rPr>
                <w:rFonts w:cs="Arial"/>
                <w:b/>
              </w:rPr>
            </w:pPr>
          </w:p>
          <w:p w14:paraId="3F33F289" w14:textId="77777777" w:rsidR="005B6A50" w:rsidRPr="00074B89" w:rsidRDefault="005B6A50" w:rsidP="005B6A50">
            <w:pPr>
              <w:rPr>
                <w:rFonts w:cs="Arial"/>
              </w:rPr>
            </w:pPr>
            <w:r w:rsidRPr="00073C70">
              <w:rPr>
                <w:rFonts w:cs="Arial"/>
              </w:rPr>
              <w:t xml:space="preserve">In </w:t>
            </w:r>
            <w:r w:rsidRPr="00074B89">
              <w:rPr>
                <w:rFonts w:cs="Arial"/>
              </w:rPr>
              <w:t xml:space="preserve">2016, Indonesia made significant progress in localizing the </w:t>
            </w:r>
            <w:r>
              <w:rPr>
                <w:rFonts w:cs="Arial"/>
              </w:rPr>
              <w:t>SDGs</w:t>
            </w:r>
            <w:r w:rsidRPr="00074B89">
              <w:rPr>
                <w:rFonts w:cs="Arial"/>
              </w:rPr>
              <w:t xml:space="preserve"> and planning for implementation. The Government has been a champion for the </w:t>
            </w:r>
            <w:r>
              <w:rPr>
                <w:rFonts w:cs="Arial"/>
              </w:rPr>
              <w:t xml:space="preserve">SDGs since </w:t>
            </w:r>
            <w:r w:rsidRPr="00074B89">
              <w:rPr>
                <w:rFonts w:cs="Arial"/>
              </w:rPr>
              <w:t>before they were adopted</w:t>
            </w:r>
            <w:r>
              <w:rPr>
                <w:rFonts w:cs="Arial"/>
              </w:rPr>
              <w:t>, for example by co-chairing the 2012-2013 High Level Panel on the Post-2015 Development Agenda</w:t>
            </w:r>
            <w:r w:rsidRPr="00074B89">
              <w:rPr>
                <w:rFonts w:cs="Arial"/>
              </w:rPr>
              <w:t xml:space="preserve">. </w:t>
            </w:r>
            <w:r>
              <w:rPr>
                <w:rFonts w:cs="Arial"/>
              </w:rPr>
              <w:t xml:space="preserve">Subsequently, many </w:t>
            </w:r>
            <w:r w:rsidRPr="00074B89">
              <w:rPr>
                <w:rFonts w:cs="Arial"/>
              </w:rPr>
              <w:t>SDG targets were integrated in the current medium-term national development plan (RPJMN 2015-2019).</w:t>
            </w:r>
          </w:p>
          <w:p w14:paraId="46EC56FF" w14:textId="77777777" w:rsidR="005B6A50" w:rsidRPr="00074B89" w:rsidRDefault="005B6A50" w:rsidP="005B6A50">
            <w:pPr>
              <w:rPr>
                <w:rFonts w:cs="Arial"/>
              </w:rPr>
            </w:pPr>
          </w:p>
          <w:p w14:paraId="73D25DAF" w14:textId="77777777" w:rsidR="005B6A50" w:rsidRPr="00074B89" w:rsidRDefault="005B6A50" w:rsidP="005B6A50">
            <w:pPr>
              <w:rPr>
                <w:rFonts w:cs="Arial"/>
              </w:rPr>
            </w:pPr>
            <w:r>
              <w:rPr>
                <w:rFonts w:cs="Arial"/>
              </w:rPr>
              <w:t>Under the umbrella of the UN Partnership for Development Framework (UNPDF) 2016-2020, UN agencies</w:t>
            </w:r>
            <w:r w:rsidRPr="00074B89">
              <w:rPr>
                <w:rFonts w:cs="Arial"/>
              </w:rPr>
              <w:t xml:space="preserve"> </w:t>
            </w:r>
            <w:r>
              <w:rPr>
                <w:rFonts w:cs="Arial"/>
              </w:rPr>
              <w:t>contribute</w:t>
            </w:r>
            <w:r w:rsidRPr="00074B89">
              <w:rPr>
                <w:rFonts w:cs="Arial"/>
              </w:rPr>
              <w:t xml:space="preserve"> </w:t>
            </w:r>
            <w:r>
              <w:rPr>
                <w:rFonts w:cs="Arial"/>
              </w:rPr>
              <w:t xml:space="preserve">policy advice, </w:t>
            </w:r>
            <w:r w:rsidRPr="00074B89">
              <w:rPr>
                <w:rFonts w:cs="Arial"/>
              </w:rPr>
              <w:t>capacity building</w:t>
            </w:r>
            <w:r>
              <w:rPr>
                <w:rFonts w:cs="Arial"/>
              </w:rPr>
              <w:t xml:space="preserve"> and knowledge sharing, and function</w:t>
            </w:r>
            <w:r w:rsidRPr="00074B89">
              <w:rPr>
                <w:rFonts w:cs="Arial"/>
              </w:rPr>
              <w:t xml:space="preserve"> as a catalyst to support the achievement of national priorities from the RPJ</w:t>
            </w:r>
            <w:r>
              <w:rPr>
                <w:rFonts w:cs="Arial"/>
              </w:rPr>
              <w:t>MN and SDGs (amongst others).</w:t>
            </w:r>
          </w:p>
          <w:p w14:paraId="6860F5BD" w14:textId="77777777" w:rsidR="005B6A50" w:rsidRPr="00074B89" w:rsidRDefault="005B6A50" w:rsidP="005B6A50">
            <w:pPr>
              <w:rPr>
                <w:rFonts w:cs="Arial"/>
              </w:rPr>
            </w:pPr>
          </w:p>
          <w:p w14:paraId="6AC0348A" w14:textId="77777777" w:rsidR="005B6A50" w:rsidRPr="00074B89" w:rsidRDefault="005B6A50" w:rsidP="005B6A50">
            <w:pPr>
              <w:rPr>
                <w:rFonts w:cs="Arial"/>
              </w:rPr>
            </w:pPr>
            <w:r w:rsidRPr="00074B89">
              <w:rPr>
                <w:rFonts w:cs="Arial"/>
              </w:rPr>
              <w:t>In 2016, UNICEF’s support to the Government of Indonesia in rolling out the SDGs helped ensure that key SDG priorities for children are firmly captured in the Government’s planning documents, including in the areas of child protection, WASH, nutrition, health and education. UNICEF has been providing technical support to improve the availability and</w:t>
            </w:r>
            <w:r w:rsidRPr="00073C70">
              <w:rPr>
                <w:rFonts w:cs="Arial"/>
              </w:rPr>
              <w:t xml:space="preserve"> quality of data and monitoring related to child well-being and the SDGs, and published an analysis of priority SDG targets and </w:t>
            </w:r>
            <w:r w:rsidRPr="00074B89">
              <w:rPr>
                <w:rFonts w:cs="Arial"/>
              </w:rPr>
              <w:t>indicators for children in Indonesia in early 2016.  The upcoming action plans at national (RAN) and subnational (RAD) levels in 2017, which will lay out Government’s planned actions to achieve the SDGs, provide an important opportunity to include key monitoring and evaluation strategies for the SDGs.</w:t>
            </w:r>
          </w:p>
          <w:p w14:paraId="6AAC8D03" w14:textId="77777777" w:rsidR="005B6A50" w:rsidRPr="00074B89" w:rsidRDefault="005B6A50" w:rsidP="005B6A50">
            <w:pPr>
              <w:rPr>
                <w:rFonts w:cs="Arial"/>
              </w:rPr>
            </w:pPr>
          </w:p>
          <w:p w14:paraId="78AAA818" w14:textId="77777777" w:rsidR="005B6A50" w:rsidRPr="00074B89" w:rsidRDefault="005B6A50" w:rsidP="005B6A50">
            <w:pPr>
              <w:rPr>
                <w:rFonts w:cs="Arial"/>
              </w:rPr>
            </w:pPr>
            <w:r w:rsidRPr="00074B89">
              <w:rPr>
                <w:rFonts w:cs="Arial"/>
              </w:rPr>
              <w:t xml:space="preserve">Recently, Indonesia signed up to present its Voluntary National Review (VNR) of SDG progress at the High Level Political Forum </w:t>
            </w:r>
            <w:r>
              <w:rPr>
                <w:rFonts w:cs="Arial"/>
              </w:rPr>
              <w:t xml:space="preserve">(HLPF) </w:t>
            </w:r>
            <w:r w:rsidRPr="00074B89">
              <w:rPr>
                <w:rFonts w:cs="Arial"/>
              </w:rPr>
              <w:t xml:space="preserve">in 2017. Global guidance recommends that preparations for the national review include the development of a VNR report which will highlight whether and to what extent national and sub-national development plans, implementation frameworks, </w:t>
            </w:r>
            <w:proofErr w:type="spellStart"/>
            <w:r w:rsidRPr="00074B89">
              <w:rPr>
                <w:rFonts w:cs="Arial"/>
              </w:rPr>
              <w:t>programme</w:t>
            </w:r>
            <w:proofErr w:type="spellEnd"/>
            <w:r w:rsidRPr="00074B89">
              <w:rPr>
                <w:rFonts w:cs="Arial"/>
              </w:rPr>
              <w:t xml:space="preserve"> implementation plans and disaggregated indicators are either being prepared or modified to strengthen cross sectoral, integrated approaches to implementing and achieving the SDGs, including goals and targets related to children. Further, it is recommended that the report reflects how the government is engaging its citizenry in implementation of the goals and tracking feedback, including through strengthened participation.</w:t>
            </w:r>
          </w:p>
          <w:p w14:paraId="45FF9229" w14:textId="77777777" w:rsidR="005B6A50" w:rsidRPr="00074B89" w:rsidRDefault="005B6A50" w:rsidP="005B6A50">
            <w:pPr>
              <w:rPr>
                <w:rFonts w:cs="Arial"/>
              </w:rPr>
            </w:pPr>
          </w:p>
          <w:p w14:paraId="78970908" w14:textId="77777777" w:rsidR="005B6A50" w:rsidRPr="00754FD8" w:rsidRDefault="005B6A50" w:rsidP="005B6A50">
            <w:pPr>
              <w:rPr>
                <w:rFonts w:cs="Arial"/>
              </w:rPr>
            </w:pPr>
            <w:r w:rsidRPr="00074B89">
              <w:rPr>
                <w:rFonts w:cs="Arial"/>
              </w:rPr>
              <w:t xml:space="preserve">In preparation for the upcoming VNR, </w:t>
            </w:r>
            <w:r>
              <w:rPr>
                <w:rFonts w:cs="Arial"/>
              </w:rPr>
              <w:t>the Government is committed to ensuring</w:t>
            </w:r>
            <w:r w:rsidRPr="00074B89">
              <w:rPr>
                <w:rFonts w:cs="Arial"/>
              </w:rPr>
              <w:t xml:space="preserve"> that high quality </w:t>
            </w:r>
            <w:r>
              <w:rPr>
                <w:rFonts w:cs="Arial"/>
              </w:rPr>
              <w:t>monitoring (data) systems</w:t>
            </w:r>
            <w:r w:rsidRPr="00074B89">
              <w:rPr>
                <w:rFonts w:cs="Arial"/>
              </w:rPr>
              <w:t xml:space="preserve"> </w:t>
            </w:r>
            <w:r>
              <w:rPr>
                <w:rFonts w:cs="Arial"/>
              </w:rPr>
              <w:t xml:space="preserve">on key SDG targets are available, </w:t>
            </w:r>
            <w:r w:rsidRPr="00073C70">
              <w:rPr>
                <w:rFonts w:cs="Arial"/>
              </w:rPr>
              <w:t>to allow for consistent tracking of progress.</w:t>
            </w:r>
            <w:r>
              <w:rPr>
                <w:rFonts w:cs="Arial"/>
              </w:rPr>
              <w:t xml:space="preserve">  National evaluation systems, furthermore, are in place through key laws and regulations.  These include Law 24/2004 (on the national development planning system, which states that evaluations are to serve as the basis for development of new plans), Government </w:t>
            </w:r>
            <w:r>
              <w:rPr>
                <w:rFonts w:cs="Arial"/>
              </w:rPr>
              <w:lastRenderedPageBreak/>
              <w:t xml:space="preserve">Regulation 39/2006 (on control and evaluation procedures for development plans), Presidential Decree 20/2016 (on mandate for monitoring, evaluation and control of development plans, given to </w:t>
            </w:r>
            <w:proofErr w:type="spellStart"/>
            <w:r>
              <w:rPr>
                <w:rFonts w:cs="Arial"/>
              </w:rPr>
              <w:t>Bappenas</w:t>
            </w:r>
            <w:proofErr w:type="spellEnd"/>
            <w:r>
              <w:rPr>
                <w:rFonts w:cs="Arial"/>
              </w:rPr>
              <w:t>), and Ministerial Regulation 1/2017 (on guidelines for conduct of national development evaluation).  Together these laws and regulations form the basis of a “national evaluation policy”, upon which further capacity development and strengthening efforts are to advance.  Given the current momentum that exists around preparation for the HLPF, this is an opportune moment to identify further gaps and strategies to ensure evaluability of the SDGs.</w:t>
            </w:r>
          </w:p>
          <w:p w14:paraId="55426573" w14:textId="77777777" w:rsidR="005B6A50" w:rsidRPr="00754FD8" w:rsidRDefault="005B6A50" w:rsidP="005B6A50">
            <w:pPr>
              <w:tabs>
                <w:tab w:val="left" w:pos="1410"/>
              </w:tabs>
              <w:rPr>
                <w:rFonts w:cs="Arial"/>
              </w:rPr>
            </w:pPr>
          </w:p>
          <w:p w14:paraId="6F3ADC31" w14:textId="77777777" w:rsidR="005B6A50" w:rsidRPr="00754FD8" w:rsidRDefault="005B6A50" w:rsidP="005B6A50">
            <w:pPr>
              <w:tabs>
                <w:tab w:val="left" w:pos="1410"/>
              </w:tabs>
              <w:rPr>
                <w:rFonts w:cs="Arial"/>
                <w:b/>
              </w:rPr>
            </w:pPr>
            <w:r w:rsidRPr="00754FD8">
              <w:rPr>
                <w:rFonts w:cs="Arial"/>
                <w:b/>
              </w:rPr>
              <w:t>Case studies:</w:t>
            </w:r>
          </w:p>
          <w:p w14:paraId="401E47D3" w14:textId="77777777" w:rsidR="005B6A50" w:rsidRPr="00754FD8" w:rsidRDefault="005B6A50" w:rsidP="005B6A50">
            <w:pPr>
              <w:tabs>
                <w:tab w:val="left" w:pos="1410"/>
              </w:tabs>
              <w:rPr>
                <w:rFonts w:cs="Arial"/>
                <w:b/>
              </w:rPr>
            </w:pPr>
          </w:p>
          <w:p w14:paraId="64B64596" w14:textId="77777777" w:rsidR="005B6A50" w:rsidRPr="00754FD8" w:rsidRDefault="005B6A50" w:rsidP="005B6A50">
            <w:pPr>
              <w:tabs>
                <w:tab w:val="left" w:pos="1410"/>
              </w:tabs>
              <w:rPr>
                <w:rFonts w:cs="Arial"/>
              </w:rPr>
            </w:pPr>
            <w:r w:rsidRPr="00754FD8">
              <w:rPr>
                <w:rFonts w:cs="Arial"/>
              </w:rPr>
              <w:t xml:space="preserve">The country case studies will 1) comprehensively map and </w:t>
            </w:r>
            <w:proofErr w:type="spellStart"/>
            <w:r w:rsidRPr="00754FD8">
              <w:rPr>
                <w:rFonts w:cs="Arial"/>
              </w:rPr>
              <w:t>analyse</w:t>
            </w:r>
            <w:proofErr w:type="spellEnd"/>
            <w:r w:rsidRPr="00754FD8">
              <w:rPr>
                <w:rFonts w:cs="Arial"/>
              </w:rPr>
              <w:t xml:space="preserve"> key features of the national evaluation systems and related capacities; 2) describe and </w:t>
            </w:r>
            <w:proofErr w:type="spellStart"/>
            <w:r w:rsidRPr="00754FD8">
              <w:rPr>
                <w:rFonts w:cs="Arial"/>
              </w:rPr>
              <w:t>analyse</w:t>
            </w:r>
            <w:proofErr w:type="spellEnd"/>
            <w:r w:rsidRPr="00754FD8">
              <w:rPr>
                <w:rFonts w:cs="Arial"/>
              </w:rPr>
              <w:t xml:space="preserve"> national responses to the evaluation requirements of the 2030 Agenda; and 3) identify key successes, lessons, gaps, trends, or other notable experiences or issues at the intersection of national evaluation capacity and the 2030 Agenda, with a view to </w:t>
            </w:r>
            <w:proofErr w:type="spellStart"/>
            <w:r w:rsidRPr="00754FD8">
              <w:rPr>
                <w:rFonts w:cs="Arial"/>
              </w:rPr>
              <w:t>analysing</w:t>
            </w:r>
            <w:proofErr w:type="spellEnd"/>
            <w:r w:rsidRPr="00754FD8">
              <w:rPr>
                <w:rFonts w:cs="Arial"/>
              </w:rPr>
              <w:t xml:space="preserve"> the country’s readiness for evaluating progress in relation to the SDGs. The country case studies will also be informed by and build on EVALSDGs ‘Spotlights’ initiative. ‘Spotlights’ are intended to provide a platform for showcasing the national experiences of selected countries with SDGs evaluation on SDGs through the exchange and sharing of lessons learned, challenges, opportunities, and best practices.</w:t>
            </w:r>
          </w:p>
          <w:p w14:paraId="3F9886D3" w14:textId="77777777" w:rsidR="005B6A50" w:rsidRPr="00754FD8" w:rsidRDefault="005B6A50" w:rsidP="005B6A50">
            <w:pPr>
              <w:tabs>
                <w:tab w:val="left" w:pos="1410"/>
              </w:tabs>
              <w:rPr>
                <w:rFonts w:cs="Arial"/>
              </w:rPr>
            </w:pPr>
          </w:p>
          <w:p w14:paraId="597925BE" w14:textId="77777777" w:rsidR="005B6A50" w:rsidRPr="00754FD8" w:rsidRDefault="005B6A50" w:rsidP="005B6A50">
            <w:pPr>
              <w:tabs>
                <w:tab w:val="left" w:pos="1410"/>
              </w:tabs>
              <w:rPr>
                <w:rFonts w:cs="Arial"/>
              </w:rPr>
            </w:pPr>
            <w:r w:rsidRPr="00754FD8">
              <w:rPr>
                <w:rFonts w:cs="Arial"/>
              </w:rPr>
              <w:t>To facilitate comparison across cases, a uniform methodology will be employed, with minor adjustments only as required by local context. Given the emphasis on peer-to-peer learning and capacity development, consultation and engagement with national evaluation system stakeholders for data gathering, definition of issues, and validation will be central to the case study research methodology.</w:t>
            </w:r>
          </w:p>
          <w:p w14:paraId="17A9C2BE" w14:textId="77777777" w:rsidR="005B6A50" w:rsidRPr="00754FD8" w:rsidRDefault="005B6A50" w:rsidP="005B6A50">
            <w:pPr>
              <w:tabs>
                <w:tab w:val="left" w:pos="1410"/>
              </w:tabs>
              <w:rPr>
                <w:rFonts w:cs="Arial"/>
              </w:rPr>
            </w:pPr>
          </w:p>
          <w:p w14:paraId="66A0A8E5" w14:textId="77777777" w:rsidR="005B6A50" w:rsidRPr="00754FD8" w:rsidRDefault="005B6A50" w:rsidP="005B6A50">
            <w:pPr>
              <w:tabs>
                <w:tab w:val="left" w:pos="1410"/>
              </w:tabs>
              <w:rPr>
                <w:rFonts w:cs="Arial"/>
              </w:rPr>
            </w:pPr>
            <w:r w:rsidRPr="00754FD8">
              <w:rPr>
                <w:rFonts w:cs="Arial"/>
              </w:rPr>
              <w:t xml:space="preserve">A detailed methodology and any associated tool(s) for the case study will be developed by the Senior Evaluation Experts who have been contracted to support the case study process and produce the regional synthesis report. The methodology will be framed by the four evaluation capacity development dimensions of institutional capacity, individual capacity, enabling environment, and linkages among these three. The framework, illustrated below, draws from the Global Evaluation Agenda 2016-2020, which was developed through an extensive global consultative process. The framework encapsulates the important elements of a functioning evaluation system and will help to guide the study process. </w:t>
            </w:r>
          </w:p>
          <w:p w14:paraId="3C7C4A09" w14:textId="77777777" w:rsidR="005B6A50" w:rsidRPr="00754FD8" w:rsidRDefault="005B6A50" w:rsidP="005B6A50">
            <w:pPr>
              <w:tabs>
                <w:tab w:val="left" w:pos="1410"/>
              </w:tabs>
              <w:rPr>
                <w:rFonts w:cs="Arial"/>
              </w:rPr>
            </w:pPr>
          </w:p>
          <w:p w14:paraId="073103E1" w14:textId="77777777" w:rsidR="005B6A50" w:rsidRPr="00754FD8" w:rsidRDefault="005B6A50" w:rsidP="005B6A50">
            <w:pPr>
              <w:tabs>
                <w:tab w:val="left" w:pos="1410"/>
              </w:tabs>
              <w:rPr>
                <w:rFonts w:cs="Arial"/>
              </w:rPr>
            </w:pPr>
            <w:r w:rsidRPr="00754FD8">
              <w:rPr>
                <w:rFonts w:cs="Arial"/>
              </w:rPr>
              <w:t>Importantly, the Global Evaluation Agenda 2016-2020 affirms that evaluation is not a value-neutral management tool. It promotes and supports equitable and sustainable human development as articulated through the SDGs. Each of the four dimensions and all evaluation processes and criteria are grounded in values of equity, gender equality, and social justice and on shared principles of partnership, innovation, inclusivity, and human rights in line with the SDGs’ “no one left behind” principle, which translates into a call for equity-focused, gender-responsive (EFGR) evaluation.</w:t>
            </w:r>
          </w:p>
          <w:p w14:paraId="7E6E8296" w14:textId="77777777" w:rsidR="005B6A50" w:rsidRPr="00754FD8" w:rsidRDefault="005B6A50" w:rsidP="005B6A50">
            <w:pPr>
              <w:tabs>
                <w:tab w:val="left" w:pos="1410"/>
              </w:tabs>
              <w:rPr>
                <w:rFonts w:cs="Arial"/>
              </w:rPr>
            </w:pPr>
          </w:p>
          <w:p w14:paraId="7094A901" w14:textId="77777777" w:rsidR="005B6A50" w:rsidRPr="00754FD8" w:rsidRDefault="005B6A50" w:rsidP="005B6A50">
            <w:pPr>
              <w:tabs>
                <w:tab w:val="left" w:pos="1410"/>
              </w:tabs>
              <w:rPr>
                <w:rFonts w:cs="Arial"/>
                <w:b/>
              </w:rPr>
            </w:pPr>
            <w:r w:rsidRPr="00754FD8">
              <w:rPr>
                <w:rFonts w:cs="Arial"/>
                <w:b/>
              </w:rPr>
              <w:object w:dxaOrig="7200" w:dyaOrig="5390" w14:anchorId="5DFDE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pt" o:ole="">
                  <v:imagedata r:id="rId8" o:title=""/>
                </v:shape>
                <o:OLEObject Type="Embed" ProgID="PowerPoint.Slide.12" ShapeID="_x0000_i1025" DrawAspect="Content" ObjectID="_1557899258" r:id="rId9"/>
              </w:object>
            </w:r>
          </w:p>
          <w:p w14:paraId="12247697" w14:textId="77777777" w:rsidR="005B6A50" w:rsidRPr="00754FD8" w:rsidRDefault="005B6A50" w:rsidP="005B6A50">
            <w:pPr>
              <w:tabs>
                <w:tab w:val="left" w:pos="1410"/>
              </w:tabs>
              <w:rPr>
                <w:rFonts w:cs="Arial"/>
                <w:i/>
              </w:rPr>
            </w:pPr>
            <w:r w:rsidRPr="00754FD8">
              <w:rPr>
                <w:rFonts w:cs="Arial"/>
                <w:i/>
              </w:rPr>
              <w:t xml:space="preserve">Source: Global Evaluation Agenda 2016-2020, </w:t>
            </w:r>
            <w:proofErr w:type="spellStart"/>
            <w:r w:rsidRPr="00754FD8">
              <w:rPr>
                <w:rFonts w:cs="Arial"/>
                <w:i/>
              </w:rPr>
              <w:t>pg</w:t>
            </w:r>
            <w:proofErr w:type="spellEnd"/>
            <w:r w:rsidRPr="00754FD8">
              <w:rPr>
                <w:rFonts w:cs="Arial"/>
                <w:i/>
              </w:rPr>
              <w:t xml:space="preserve"> 17 (adapted).</w:t>
            </w:r>
          </w:p>
          <w:p w14:paraId="1BE62FA3" w14:textId="77777777" w:rsidR="005B6A50" w:rsidRDefault="005B6A50" w:rsidP="005B6A50">
            <w:pPr>
              <w:tabs>
                <w:tab w:val="left" w:pos="1410"/>
              </w:tabs>
              <w:rPr>
                <w:rFonts w:cs="Arial"/>
              </w:rPr>
            </w:pPr>
          </w:p>
          <w:p w14:paraId="68BE3D34" w14:textId="77777777" w:rsidR="005B6A50" w:rsidRPr="00754FD8" w:rsidRDefault="005B6A50" w:rsidP="005B6A50">
            <w:pPr>
              <w:tabs>
                <w:tab w:val="left" w:pos="1410"/>
              </w:tabs>
              <w:rPr>
                <w:rFonts w:cs="Arial"/>
              </w:rPr>
            </w:pPr>
            <w:r w:rsidRPr="00754FD8">
              <w:rPr>
                <w:rFonts w:cs="Arial"/>
              </w:rPr>
              <w:t>The case studies will follow the framework as a guide to:</w:t>
            </w:r>
          </w:p>
          <w:p w14:paraId="653EEE8C" w14:textId="77777777" w:rsidR="005B6A50" w:rsidRPr="00754FD8" w:rsidRDefault="005B6A50" w:rsidP="005B6A50">
            <w:pPr>
              <w:pStyle w:val="ListParagraph"/>
              <w:numPr>
                <w:ilvl w:val="0"/>
                <w:numId w:val="40"/>
              </w:numPr>
              <w:tabs>
                <w:tab w:val="left" w:pos="1410"/>
              </w:tabs>
              <w:spacing w:line="240" w:lineRule="auto"/>
              <w:rPr>
                <w:rFonts w:cs="Arial"/>
                <w:lang w:val="en-GB"/>
              </w:rPr>
            </w:pPr>
            <w:r w:rsidRPr="00754FD8">
              <w:rPr>
                <w:rFonts w:cs="Arial"/>
                <w:lang w:val="en-GB"/>
              </w:rPr>
              <w:t xml:space="preserve">trace each element of the framework, with particular attention being paid to the four key dimensions; </w:t>
            </w:r>
          </w:p>
          <w:p w14:paraId="3A5257F6" w14:textId="77777777" w:rsidR="005B6A50" w:rsidRPr="00754FD8" w:rsidRDefault="005B6A50" w:rsidP="005B6A50">
            <w:pPr>
              <w:pStyle w:val="ListParagraph"/>
              <w:numPr>
                <w:ilvl w:val="0"/>
                <w:numId w:val="40"/>
              </w:numPr>
              <w:tabs>
                <w:tab w:val="left" w:pos="1410"/>
              </w:tabs>
              <w:spacing w:line="240" w:lineRule="auto"/>
              <w:rPr>
                <w:rFonts w:cs="Arial"/>
                <w:lang w:val="en-GB"/>
              </w:rPr>
            </w:pPr>
            <w:r w:rsidRPr="00754FD8">
              <w:rPr>
                <w:rFonts w:cs="Arial"/>
                <w:lang w:val="en-GB"/>
              </w:rPr>
              <w:t>focus on important features of the national and sub-national context and status;</w:t>
            </w:r>
          </w:p>
          <w:p w14:paraId="04054FD0" w14:textId="77777777" w:rsidR="005B6A50" w:rsidRPr="00754FD8" w:rsidRDefault="005B6A50" w:rsidP="005B6A50">
            <w:pPr>
              <w:pStyle w:val="ListParagraph"/>
              <w:numPr>
                <w:ilvl w:val="0"/>
                <w:numId w:val="40"/>
              </w:numPr>
              <w:tabs>
                <w:tab w:val="left" w:pos="1410"/>
              </w:tabs>
              <w:spacing w:line="240" w:lineRule="auto"/>
              <w:rPr>
                <w:rFonts w:cs="Arial"/>
                <w:lang w:val="en-GB"/>
              </w:rPr>
            </w:pPr>
            <w:r w:rsidRPr="00754FD8">
              <w:rPr>
                <w:rFonts w:cs="Arial"/>
                <w:lang w:val="en-GB"/>
              </w:rPr>
              <w:t>assess evaluation supply and demand factors;</w:t>
            </w:r>
          </w:p>
          <w:p w14:paraId="5AD39110" w14:textId="77777777" w:rsidR="005B6A50" w:rsidRPr="00754FD8" w:rsidRDefault="005B6A50" w:rsidP="005B6A50">
            <w:pPr>
              <w:pStyle w:val="ListParagraph"/>
              <w:numPr>
                <w:ilvl w:val="0"/>
                <w:numId w:val="40"/>
              </w:numPr>
              <w:tabs>
                <w:tab w:val="left" w:pos="1410"/>
              </w:tabs>
              <w:spacing w:line="240" w:lineRule="auto"/>
              <w:rPr>
                <w:rFonts w:cs="Arial"/>
                <w:lang w:val="en-GB"/>
              </w:rPr>
            </w:pPr>
            <w:r w:rsidRPr="00754FD8">
              <w:rPr>
                <w:rFonts w:cs="Arial"/>
                <w:lang w:val="en-GB"/>
              </w:rPr>
              <w:t xml:space="preserve">consider issues relevant to the SDG “no one left behind” principle, which translates into a call for </w:t>
            </w:r>
            <w:r>
              <w:rPr>
                <w:rFonts w:cs="Arial"/>
                <w:lang w:val="en-GB"/>
              </w:rPr>
              <w:t>EFGR</w:t>
            </w:r>
            <w:r w:rsidRPr="00754FD8">
              <w:rPr>
                <w:rFonts w:cs="Arial"/>
                <w:lang w:val="en-GB"/>
              </w:rPr>
              <w:t xml:space="preserve"> evaluation; and </w:t>
            </w:r>
          </w:p>
          <w:p w14:paraId="0170FCFD" w14:textId="77777777" w:rsidR="005B6A50" w:rsidRPr="00754FD8" w:rsidRDefault="005B6A50" w:rsidP="005B6A50">
            <w:pPr>
              <w:pStyle w:val="ListParagraph"/>
              <w:numPr>
                <w:ilvl w:val="0"/>
                <w:numId w:val="40"/>
              </w:numPr>
              <w:tabs>
                <w:tab w:val="left" w:pos="1410"/>
              </w:tabs>
              <w:spacing w:line="240" w:lineRule="auto"/>
              <w:rPr>
                <w:rFonts w:cs="Arial"/>
                <w:lang w:val="en-GB"/>
              </w:rPr>
            </w:pPr>
            <w:proofErr w:type="gramStart"/>
            <w:r w:rsidRPr="00754FD8">
              <w:rPr>
                <w:rFonts w:cs="Arial"/>
                <w:lang w:val="en-GB"/>
              </w:rPr>
              <w:t>explore</w:t>
            </w:r>
            <w:proofErr w:type="gramEnd"/>
            <w:r w:rsidRPr="00754FD8">
              <w:rPr>
                <w:rFonts w:cs="Arial"/>
                <w:lang w:val="en-GB"/>
              </w:rPr>
              <w:t xml:space="preserve"> the mutually supportive and interconnected dimensions of evaluation systems.</w:t>
            </w:r>
          </w:p>
          <w:p w14:paraId="66A63825" w14:textId="77777777" w:rsidR="005B6A50" w:rsidRDefault="005B6A50" w:rsidP="005B6A50">
            <w:pPr>
              <w:tabs>
                <w:tab w:val="left" w:pos="1410"/>
              </w:tabs>
              <w:rPr>
                <w:rFonts w:cs="Arial"/>
              </w:rPr>
            </w:pPr>
          </w:p>
          <w:p w14:paraId="11C4D32A" w14:textId="77777777" w:rsidR="005B6A50" w:rsidRPr="00754FD8" w:rsidRDefault="005B6A50" w:rsidP="005B6A50">
            <w:pPr>
              <w:tabs>
                <w:tab w:val="left" w:pos="1410"/>
              </w:tabs>
              <w:rPr>
                <w:rFonts w:cs="Arial"/>
              </w:rPr>
            </w:pPr>
            <w:r w:rsidRPr="00754FD8">
              <w:rPr>
                <w:rFonts w:cs="Arial"/>
              </w:rPr>
              <w:t>Within this framework, the mapping and analysis of the national evaluation system will provide an analysis of progress</w:t>
            </w:r>
            <w:r>
              <w:rPr>
                <w:rFonts w:cs="Arial"/>
              </w:rPr>
              <w:t>, challenges, and lessons learned</w:t>
            </w:r>
            <w:r w:rsidRPr="00754FD8">
              <w:rPr>
                <w:rFonts w:cs="Arial"/>
              </w:rPr>
              <w:t xml:space="preserve"> for each of the</w:t>
            </w:r>
            <w:r>
              <w:rPr>
                <w:rFonts w:cs="Arial"/>
              </w:rPr>
              <w:t xml:space="preserve"> ‘success factors’</w:t>
            </w:r>
            <w:r w:rsidRPr="00754FD8">
              <w:rPr>
                <w:rFonts w:cs="Arial"/>
              </w:rPr>
              <w:t xml:space="preserve"> relevant to the country context. Where relevant, case studies may also identify additional ‘success factors’.</w:t>
            </w:r>
          </w:p>
          <w:p w14:paraId="46E5AA87" w14:textId="77777777" w:rsidR="005B6A50" w:rsidRDefault="005B6A50" w:rsidP="005B6A50">
            <w:pPr>
              <w:tabs>
                <w:tab w:val="left" w:pos="1410"/>
              </w:tabs>
              <w:rPr>
                <w:rFonts w:cs="Arial"/>
              </w:rPr>
            </w:pPr>
          </w:p>
          <w:p w14:paraId="73CBE6B0" w14:textId="77777777" w:rsidR="005B6A50" w:rsidRPr="008F0EE5" w:rsidRDefault="005B6A50" w:rsidP="005B6A50">
            <w:pPr>
              <w:tabs>
                <w:tab w:val="left" w:pos="1410"/>
              </w:tabs>
              <w:rPr>
                <w:rFonts w:cs="Arial"/>
                <w:b/>
              </w:rPr>
            </w:pPr>
            <w:r w:rsidRPr="008F0EE5">
              <w:rPr>
                <w:rFonts w:cs="Arial"/>
                <w:b/>
              </w:rPr>
              <w:t>Evaluation questions:</w:t>
            </w:r>
          </w:p>
          <w:p w14:paraId="705DF27C" w14:textId="77777777" w:rsidR="005B6A50" w:rsidRPr="00754FD8" w:rsidRDefault="005B6A50" w:rsidP="005B6A50">
            <w:pPr>
              <w:tabs>
                <w:tab w:val="left" w:pos="1410"/>
              </w:tabs>
              <w:rPr>
                <w:rFonts w:cs="Arial"/>
              </w:rPr>
            </w:pPr>
          </w:p>
          <w:p w14:paraId="5F2C6553" w14:textId="77777777" w:rsidR="005B6A50" w:rsidRPr="00754FD8" w:rsidRDefault="005B6A50" w:rsidP="005B6A50">
            <w:pPr>
              <w:tabs>
                <w:tab w:val="left" w:pos="1410"/>
              </w:tabs>
              <w:rPr>
                <w:rFonts w:cs="Arial"/>
              </w:rPr>
            </w:pPr>
            <w:r w:rsidRPr="00754FD8">
              <w:rPr>
                <w:rFonts w:cs="Arial"/>
              </w:rPr>
              <w:t xml:space="preserve">In </w:t>
            </w:r>
            <w:proofErr w:type="spellStart"/>
            <w:r w:rsidRPr="00754FD8">
              <w:rPr>
                <w:rFonts w:cs="Arial"/>
              </w:rPr>
              <w:t>analysing</w:t>
            </w:r>
            <w:proofErr w:type="spellEnd"/>
            <w:r w:rsidRPr="00754FD8">
              <w:rPr>
                <w:rFonts w:cs="Arial"/>
              </w:rPr>
              <w:t xml:space="preserve"> the country’s readiness for evaluation in the context of the 2030 Agenda, questions such as the following will be considered:</w:t>
            </w:r>
          </w:p>
          <w:p w14:paraId="4537F8BE" w14:textId="77777777" w:rsidR="005B6A50" w:rsidRPr="00754FD8" w:rsidRDefault="005B6A50" w:rsidP="005B6A50">
            <w:pPr>
              <w:pStyle w:val="ListParagraph"/>
              <w:numPr>
                <w:ilvl w:val="0"/>
                <w:numId w:val="41"/>
              </w:numPr>
              <w:tabs>
                <w:tab w:val="left" w:pos="1410"/>
              </w:tabs>
              <w:spacing w:line="240" w:lineRule="auto"/>
              <w:rPr>
                <w:rFonts w:cs="Arial"/>
                <w:lang w:val="en-GB"/>
              </w:rPr>
            </w:pPr>
            <w:r>
              <w:rPr>
                <w:rFonts w:cs="Arial"/>
                <w:lang w:val="en-GB"/>
              </w:rPr>
              <w:t xml:space="preserve">What is the government’s </w:t>
            </w:r>
            <w:r w:rsidRPr="00754FD8">
              <w:rPr>
                <w:rFonts w:cs="Arial"/>
                <w:lang w:val="en-GB"/>
              </w:rPr>
              <w:t>evaluation strategy or policy and guidance for the 2030 Agenda?</w:t>
            </w:r>
          </w:p>
          <w:p w14:paraId="0F4E77D4" w14:textId="77777777" w:rsidR="005B6A50" w:rsidRPr="00754FD8" w:rsidRDefault="005B6A50" w:rsidP="005B6A50">
            <w:pPr>
              <w:pStyle w:val="ListParagraph"/>
              <w:numPr>
                <w:ilvl w:val="0"/>
                <w:numId w:val="41"/>
              </w:numPr>
              <w:tabs>
                <w:tab w:val="left" w:pos="1410"/>
              </w:tabs>
              <w:spacing w:line="240" w:lineRule="auto"/>
              <w:rPr>
                <w:rFonts w:cs="Arial"/>
                <w:lang w:val="en-GB"/>
              </w:rPr>
            </w:pPr>
            <w:r w:rsidRPr="00754FD8">
              <w:rPr>
                <w:rFonts w:cs="Arial"/>
                <w:lang w:val="en-GB"/>
              </w:rPr>
              <w:t>What is the status of the current national system for monitoring, including national statistics and programme/project monitoring?</w:t>
            </w:r>
          </w:p>
          <w:p w14:paraId="5057BB95" w14:textId="77777777" w:rsidR="005B6A50" w:rsidRPr="00754FD8" w:rsidRDefault="005B6A50" w:rsidP="005B6A50">
            <w:pPr>
              <w:pStyle w:val="ListParagraph"/>
              <w:numPr>
                <w:ilvl w:val="0"/>
                <w:numId w:val="41"/>
              </w:numPr>
              <w:tabs>
                <w:tab w:val="left" w:pos="1410"/>
              </w:tabs>
              <w:spacing w:line="240" w:lineRule="auto"/>
              <w:rPr>
                <w:rFonts w:cs="Arial"/>
                <w:lang w:val="en-GB"/>
              </w:rPr>
            </w:pPr>
            <w:r w:rsidRPr="00754FD8">
              <w:rPr>
                <w:rFonts w:cs="Arial"/>
                <w:lang w:val="en-GB"/>
              </w:rPr>
              <w:t>What – if any – key steps are being taken to adapt the national M&amp;E systems and processes to monitor, review, and evaluate the implementation of the 2030 Agenda? This should include an analysis of:</w:t>
            </w:r>
          </w:p>
          <w:p w14:paraId="50C42C7A" w14:textId="77777777" w:rsidR="005B6A50" w:rsidRPr="00754FD8" w:rsidRDefault="005B6A50" w:rsidP="005B6A50">
            <w:pPr>
              <w:pStyle w:val="ListParagraph"/>
              <w:numPr>
                <w:ilvl w:val="1"/>
                <w:numId w:val="41"/>
              </w:numPr>
              <w:tabs>
                <w:tab w:val="left" w:pos="1410"/>
              </w:tabs>
              <w:spacing w:line="240" w:lineRule="auto"/>
              <w:rPr>
                <w:rFonts w:cs="Arial"/>
                <w:lang w:val="en-GB"/>
              </w:rPr>
            </w:pPr>
            <w:r w:rsidRPr="00754FD8">
              <w:rPr>
                <w:rFonts w:cs="Arial"/>
                <w:lang w:val="en-GB"/>
              </w:rPr>
              <w:t>What/who is driving these changes?</w:t>
            </w:r>
          </w:p>
          <w:p w14:paraId="10EB2D00" w14:textId="77777777" w:rsidR="005B6A50" w:rsidRPr="00754FD8" w:rsidRDefault="005B6A50" w:rsidP="005B6A50">
            <w:pPr>
              <w:pStyle w:val="ListParagraph"/>
              <w:numPr>
                <w:ilvl w:val="1"/>
                <w:numId w:val="41"/>
              </w:numPr>
              <w:tabs>
                <w:tab w:val="left" w:pos="1410"/>
              </w:tabs>
              <w:spacing w:line="240" w:lineRule="auto"/>
              <w:rPr>
                <w:rFonts w:cs="Arial"/>
                <w:lang w:val="en-GB"/>
              </w:rPr>
            </w:pPr>
            <w:r w:rsidRPr="00754FD8">
              <w:rPr>
                <w:rFonts w:cs="Arial"/>
                <w:lang w:val="en-GB"/>
              </w:rPr>
              <w:t xml:space="preserve">To what extent are institutional arrangements being set </w:t>
            </w:r>
            <w:r>
              <w:rPr>
                <w:rFonts w:cs="Arial"/>
                <w:lang w:val="en-GB"/>
              </w:rPr>
              <w:t xml:space="preserve">up or adjusted fit for purpose, </w:t>
            </w:r>
            <w:r w:rsidRPr="00754FD8">
              <w:rPr>
                <w:rFonts w:cs="Arial"/>
                <w:lang w:val="en-GB"/>
              </w:rPr>
              <w:t>both horizontally (across sectors and departments) and vertically (subnational and local)?</w:t>
            </w:r>
          </w:p>
          <w:p w14:paraId="292A02F6" w14:textId="77777777" w:rsidR="005B6A50" w:rsidRPr="00754FD8" w:rsidRDefault="005B6A50" w:rsidP="005B6A50">
            <w:pPr>
              <w:pStyle w:val="ListParagraph"/>
              <w:numPr>
                <w:ilvl w:val="1"/>
                <w:numId w:val="41"/>
              </w:numPr>
              <w:tabs>
                <w:tab w:val="left" w:pos="1410"/>
              </w:tabs>
              <w:spacing w:line="240" w:lineRule="auto"/>
              <w:rPr>
                <w:rFonts w:cs="Arial"/>
                <w:lang w:val="en-GB"/>
              </w:rPr>
            </w:pPr>
            <w:r w:rsidRPr="00754FD8">
              <w:rPr>
                <w:rFonts w:cs="Arial"/>
                <w:lang w:val="en-GB"/>
              </w:rPr>
              <w:t>To what extent are other stakeholders involved in M&amp;E processes related to the SDGs?</w:t>
            </w:r>
          </w:p>
          <w:p w14:paraId="4BC0666B" w14:textId="77777777" w:rsidR="005B6A50" w:rsidRPr="00754FD8" w:rsidRDefault="005B6A50" w:rsidP="005B6A50">
            <w:pPr>
              <w:pStyle w:val="ListParagraph"/>
              <w:numPr>
                <w:ilvl w:val="1"/>
                <w:numId w:val="42"/>
              </w:numPr>
              <w:tabs>
                <w:tab w:val="left" w:pos="1410"/>
              </w:tabs>
              <w:spacing w:line="240" w:lineRule="auto"/>
              <w:ind w:left="720"/>
              <w:rPr>
                <w:rFonts w:cs="Arial"/>
                <w:lang w:val="en-GB"/>
              </w:rPr>
            </w:pPr>
            <w:r w:rsidRPr="00754FD8">
              <w:rPr>
                <w:rFonts w:cs="Arial"/>
                <w:lang w:val="en-GB"/>
              </w:rPr>
              <w:t>Through what mechanisms do (or will) evaluations inform the adjustment or revision of strategies, resource allocations, and policies? How is this changing in light of the 2030 Agenda? This should consider vertical policy coherence issues.</w:t>
            </w:r>
          </w:p>
          <w:p w14:paraId="2F25E28D" w14:textId="77777777" w:rsidR="005B6A50" w:rsidRPr="00754FD8" w:rsidRDefault="005B6A50" w:rsidP="005B6A50">
            <w:pPr>
              <w:pStyle w:val="ListParagraph"/>
              <w:numPr>
                <w:ilvl w:val="1"/>
                <w:numId w:val="42"/>
              </w:numPr>
              <w:tabs>
                <w:tab w:val="left" w:pos="1410"/>
              </w:tabs>
              <w:spacing w:line="240" w:lineRule="auto"/>
              <w:ind w:left="720"/>
              <w:rPr>
                <w:rFonts w:cs="Arial"/>
                <w:lang w:val="en-GB"/>
              </w:rPr>
            </w:pPr>
            <w:r w:rsidRPr="00754FD8">
              <w:rPr>
                <w:rFonts w:cs="Arial"/>
                <w:lang w:val="en-GB"/>
              </w:rPr>
              <w:t>How are evaluation methods changing or evolving to support adaptive governance and equity?</w:t>
            </w:r>
          </w:p>
          <w:p w14:paraId="5B71003B" w14:textId="77777777" w:rsidR="005B6A50" w:rsidRPr="00754FD8" w:rsidRDefault="005B6A50" w:rsidP="005B6A50">
            <w:pPr>
              <w:pStyle w:val="ListParagraph"/>
              <w:numPr>
                <w:ilvl w:val="1"/>
                <w:numId w:val="42"/>
              </w:numPr>
              <w:tabs>
                <w:tab w:val="left" w:pos="1410"/>
              </w:tabs>
              <w:spacing w:line="240" w:lineRule="auto"/>
              <w:ind w:left="720"/>
              <w:rPr>
                <w:rFonts w:cs="Arial"/>
                <w:lang w:val="en-GB"/>
              </w:rPr>
            </w:pPr>
            <w:r w:rsidRPr="00754FD8">
              <w:rPr>
                <w:rFonts w:cs="Arial"/>
                <w:lang w:val="en-GB"/>
              </w:rPr>
              <w:lastRenderedPageBreak/>
              <w:t>What evaluation methods and tools are government and other stakeholders currently using to evaluate policy choices, especially in relation to integrated approaches (ensuring that the interlinkages between SDGs, trade-offs/synergies are adequately addressed and evaluated)?</w:t>
            </w:r>
          </w:p>
          <w:p w14:paraId="1922BC71" w14:textId="77777777" w:rsidR="005B6A50" w:rsidRPr="00754FD8" w:rsidRDefault="005B6A50" w:rsidP="005B6A50">
            <w:pPr>
              <w:pStyle w:val="ListParagraph"/>
              <w:numPr>
                <w:ilvl w:val="0"/>
                <w:numId w:val="43"/>
              </w:numPr>
              <w:spacing w:line="240" w:lineRule="auto"/>
              <w:rPr>
                <w:rFonts w:cs="Arial"/>
                <w:lang w:val="en-GB"/>
              </w:rPr>
            </w:pPr>
            <w:r w:rsidRPr="00754FD8">
              <w:rPr>
                <w:rFonts w:cs="Arial"/>
                <w:lang w:val="en-GB"/>
              </w:rPr>
              <w:t xml:space="preserve">What </w:t>
            </w:r>
            <w:r>
              <w:rPr>
                <w:rFonts w:cs="Arial"/>
                <w:lang w:val="en-GB"/>
              </w:rPr>
              <w:t>EFGR</w:t>
            </w:r>
            <w:r w:rsidRPr="00754FD8">
              <w:rPr>
                <w:rFonts w:cs="Arial"/>
                <w:lang w:val="en-GB"/>
              </w:rPr>
              <w:t xml:space="preserve"> evaluation methods and tools are government and other stakeholders currently using?</w:t>
            </w:r>
          </w:p>
          <w:p w14:paraId="64A3E8D4" w14:textId="77777777" w:rsidR="005B6A50" w:rsidRPr="00754FD8" w:rsidRDefault="005B6A50" w:rsidP="005B6A50">
            <w:pPr>
              <w:pStyle w:val="ListParagraph"/>
              <w:numPr>
                <w:ilvl w:val="0"/>
                <w:numId w:val="43"/>
              </w:numPr>
              <w:spacing w:line="240" w:lineRule="auto"/>
              <w:rPr>
                <w:rFonts w:cs="Arial"/>
                <w:lang w:val="en-GB"/>
              </w:rPr>
            </w:pPr>
            <w:r w:rsidRPr="00754FD8">
              <w:rPr>
                <w:rFonts w:cs="Arial"/>
                <w:lang w:val="en-GB"/>
              </w:rPr>
              <w:t>Do existing data collection and statistical systems address national evaluation needs in relation to the 2030 Agenda, including with respect to equity and gender equality?</w:t>
            </w:r>
          </w:p>
          <w:p w14:paraId="7F280C8A" w14:textId="77777777" w:rsidR="005B6A50" w:rsidRPr="00754FD8" w:rsidRDefault="005B6A50" w:rsidP="005B6A50">
            <w:pPr>
              <w:tabs>
                <w:tab w:val="left" w:pos="1410"/>
              </w:tabs>
              <w:rPr>
                <w:rFonts w:cs="Arial"/>
              </w:rPr>
            </w:pPr>
          </w:p>
          <w:p w14:paraId="3E76102E" w14:textId="77777777" w:rsidR="005B6A50" w:rsidRPr="00754FD8" w:rsidRDefault="005B6A50" w:rsidP="005B6A50">
            <w:pPr>
              <w:rPr>
                <w:rFonts w:eastAsia="Times New Roman" w:cs="Arial"/>
              </w:rPr>
            </w:pPr>
            <w:r w:rsidRPr="00754FD8">
              <w:rPr>
                <w:rFonts w:eastAsia="Times New Roman" w:cs="Arial"/>
                <w:b/>
                <w:bCs/>
              </w:rPr>
              <w:t>Scope of Work:</w:t>
            </w:r>
          </w:p>
          <w:p w14:paraId="52578CE7" w14:textId="77777777" w:rsidR="005B6A50" w:rsidRPr="00754FD8" w:rsidRDefault="005B6A50" w:rsidP="005B6A50">
            <w:pPr>
              <w:rPr>
                <w:rFonts w:eastAsia="Times New Roman" w:cs="Arial"/>
              </w:rPr>
            </w:pPr>
            <w:r w:rsidRPr="00754FD8">
              <w:rPr>
                <w:rFonts w:eastAsia="Times New Roman" w:cs="Arial"/>
              </w:rPr>
              <w:t> </w:t>
            </w:r>
          </w:p>
          <w:p w14:paraId="03C54BBE" w14:textId="77777777" w:rsidR="005B6A50" w:rsidRPr="00754FD8" w:rsidRDefault="005B6A50" w:rsidP="005B6A50">
            <w:pPr>
              <w:rPr>
                <w:rFonts w:eastAsia="Times New Roman" w:cs="Arial"/>
              </w:rPr>
            </w:pPr>
            <w:r w:rsidRPr="00754FD8">
              <w:rPr>
                <w:rFonts w:eastAsia="Times New Roman" w:cs="Arial"/>
                <w:b/>
                <w:bCs/>
              </w:rPr>
              <w:t>1. </w:t>
            </w:r>
            <w:r w:rsidRPr="00754FD8">
              <w:rPr>
                <w:rFonts w:eastAsia="Times New Roman" w:cs="Arial"/>
                <w:b/>
                <w:bCs/>
                <w:u w:val="single"/>
              </w:rPr>
              <w:t>Data collection</w:t>
            </w:r>
          </w:p>
          <w:p w14:paraId="42F778FD" w14:textId="77777777" w:rsidR="005B6A50" w:rsidRPr="00754FD8" w:rsidRDefault="005B6A50" w:rsidP="005B6A50">
            <w:pPr>
              <w:rPr>
                <w:rFonts w:eastAsia="Times New Roman" w:cs="Arial"/>
              </w:rPr>
            </w:pPr>
          </w:p>
          <w:p w14:paraId="2AE947E5" w14:textId="77777777" w:rsidR="005B6A50" w:rsidRPr="00754FD8" w:rsidRDefault="005B6A50" w:rsidP="005B6A50">
            <w:pPr>
              <w:rPr>
                <w:rFonts w:eastAsia="Times New Roman" w:cs="Arial"/>
              </w:rPr>
            </w:pPr>
            <w:r w:rsidRPr="00754FD8">
              <w:rPr>
                <w:rFonts w:eastAsia="Times New Roman" w:cs="Arial"/>
              </w:rPr>
              <w:t>Based on the methodology and tools prepared by the Senior Evaluation Experts, conduct data collection and literature review under the scope of case studies. This will include:</w:t>
            </w:r>
          </w:p>
          <w:p w14:paraId="5277E8B1" w14:textId="77777777" w:rsidR="005B6A50" w:rsidRPr="00754FD8" w:rsidRDefault="005B6A50" w:rsidP="005B6A50">
            <w:pPr>
              <w:rPr>
                <w:rFonts w:eastAsia="Times New Roman" w:cs="Arial"/>
              </w:rPr>
            </w:pPr>
          </w:p>
          <w:p w14:paraId="5D26B999" w14:textId="77777777" w:rsidR="005B6A50" w:rsidRPr="00754FD8" w:rsidRDefault="005B6A50" w:rsidP="005B6A50">
            <w:pPr>
              <w:rPr>
                <w:rFonts w:eastAsia="Times New Roman" w:cs="Arial"/>
              </w:rPr>
            </w:pPr>
            <w:r w:rsidRPr="00754FD8">
              <w:rPr>
                <w:rFonts w:eastAsia="Times New Roman" w:cs="Arial"/>
                <w:b/>
                <w:bCs/>
                <w:i/>
                <w:iCs/>
              </w:rPr>
              <w:t>a)</w:t>
            </w:r>
            <w:r w:rsidRPr="00754FD8">
              <w:rPr>
                <w:rFonts w:eastAsia="Times New Roman" w:cs="Arial"/>
              </w:rPr>
              <w:t> </w:t>
            </w:r>
            <w:r w:rsidRPr="00754FD8">
              <w:rPr>
                <w:rFonts w:eastAsia="Times New Roman" w:cs="Arial"/>
                <w:b/>
                <w:bCs/>
                <w:i/>
                <w:iCs/>
              </w:rPr>
              <w:t xml:space="preserve">Document review. </w:t>
            </w:r>
            <w:r w:rsidRPr="00754FD8">
              <w:rPr>
                <w:rFonts w:eastAsia="Times New Roman" w:cs="Arial"/>
              </w:rPr>
              <w:t>This will include material common across all case studies, as well as material specific to the national context, such as:</w:t>
            </w:r>
          </w:p>
          <w:p w14:paraId="31AB009E" w14:textId="77777777" w:rsidR="005B6A50" w:rsidRPr="00754FD8" w:rsidRDefault="005B6A50" w:rsidP="005B6A50">
            <w:pPr>
              <w:numPr>
                <w:ilvl w:val="0"/>
                <w:numId w:val="36"/>
              </w:numPr>
              <w:spacing w:line="240" w:lineRule="auto"/>
              <w:rPr>
                <w:rFonts w:eastAsia="Times New Roman" w:cs="Arial"/>
              </w:rPr>
            </w:pPr>
            <w:r w:rsidRPr="00754FD8">
              <w:rPr>
                <w:rFonts w:eastAsia="Times New Roman" w:cs="Arial"/>
              </w:rPr>
              <w:t>Monitoring and Evaluation (M&amp;E) system-related legislation, policies, regulations, standards, procedures and guides, institutional frameworks, studies, and reports;</w:t>
            </w:r>
          </w:p>
          <w:p w14:paraId="084385AB" w14:textId="77777777" w:rsidR="005B6A50" w:rsidRPr="00754FD8" w:rsidRDefault="005B6A50" w:rsidP="005B6A50">
            <w:pPr>
              <w:numPr>
                <w:ilvl w:val="0"/>
                <w:numId w:val="36"/>
              </w:numPr>
              <w:spacing w:line="240" w:lineRule="auto"/>
              <w:rPr>
                <w:rFonts w:eastAsia="Times New Roman" w:cs="Arial"/>
              </w:rPr>
            </w:pPr>
            <w:r w:rsidRPr="00754FD8">
              <w:rPr>
                <w:rFonts w:eastAsia="Times New Roman" w:cs="Arial"/>
              </w:rPr>
              <w:t>Standard evaluation tools in use by key stakeholders in the M&amp;E system, including template log frames, Performance Monitoring Framework (PMFs), reporting forms, etc.;</w:t>
            </w:r>
          </w:p>
          <w:p w14:paraId="216BA38D" w14:textId="77777777" w:rsidR="005B6A50" w:rsidRPr="00754FD8" w:rsidRDefault="005B6A50" w:rsidP="005B6A50">
            <w:pPr>
              <w:numPr>
                <w:ilvl w:val="0"/>
                <w:numId w:val="36"/>
              </w:numPr>
              <w:spacing w:line="240" w:lineRule="auto"/>
              <w:rPr>
                <w:rFonts w:eastAsia="Times New Roman" w:cs="Arial"/>
              </w:rPr>
            </w:pPr>
            <w:r w:rsidRPr="00754FD8">
              <w:rPr>
                <w:rFonts w:eastAsia="Times New Roman" w:cs="Arial"/>
              </w:rPr>
              <w:t>Evaluation reports and responses;</w:t>
            </w:r>
          </w:p>
          <w:p w14:paraId="396E1511" w14:textId="77777777" w:rsidR="005B6A50" w:rsidRPr="00754FD8" w:rsidRDefault="005B6A50" w:rsidP="005B6A50">
            <w:pPr>
              <w:numPr>
                <w:ilvl w:val="0"/>
                <w:numId w:val="36"/>
              </w:numPr>
              <w:spacing w:line="240" w:lineRule="auto"/>
              <w:rPr>
                <w:rFonts w:eastAsia="Times New Roman" w:cs="Arial"/>
              </w:rPr>
            </w:pPr>
            <w:r w:rsidRPr="00754FD8">
              <w:rPr>
                <w:rFonts w:eastAsia="Times New Roman" w:cs="Arial"/>
              </w:rPr>
              <w:t>Policy research or academic materials providing prescriptive, comparative, or evaluative input related to evaluation in the national context.</w:t>
            </w:r>
          </w:p>
          <w:p w14:paraId="4F2AF388" w14:textId="77777777" w:rsidR="005B6A50" w:rsidRPr="00754FD8" w:rsidRDefault="005B6A50" w:rsidP="005B6A50">
            <w:pPr>
              <w:rPr>
                <w:rFonts w:eastAsia="Times New Roman" w:cs="Arial"/>
              </w:rPr>
            </w:pPr>
            <w:r w:rsidRPr="00754FD8">
              <w:rPr>
                <w:rFonts w:eastAsia="Times New Roman" w:cs="Arial"/>
              </w:rPr>
              <w:t> </w:t>
            </w:r>
          </w:p>
          <w:p w14:paraId="3DCD97C0" w14:textId="77777777" w:rsidR="005B6A50" w:rsidRPr="00754FD8" w:rsidRDefault="005B6A50" w:rsidP="005B6A50">
            <w:pPr>
              <w:rPr>
                <w:rFonts w:eastAsia="Times New Roman" w:cs="Arial"/>
              </w:rPr>
            </w:pPr>
            <w:r w:rsidRPr="00754FD8">
              <w:rPr>
                <w:rFonts w:eastAsia="Times New Roman" w:cs="Arial"/>
                <w:b/>
                <w:bCs/>
                <w:i/>
                <w:iCs/>
              </w:rPr>
              <w:t>b) Key stakeholder interviews</w:t>
            </w:r>
            <w:r w:rsidRPr="00754FD8">
              <w:rPr>
                <w:rFonts w:eastAsia="Times New Roman" w:cs="Arial"/>
                <w:i/>
                <w:iCs/>
              </w:rPr>
              <w:t xml:space="preserve">. </w:t>
            </w:r>
            <w:r w:rsidRPr="00754FD8">
              <w:rPr>
                <w:rFonts w:eastAsia="Times New Roman" w:cs="Arial"/>
                <w:iCs/>
              </w:rPr>
              <w:t>T</w:t>
            </w:r>
            <w:r w:rsidRPr="00754FD8">
              <w:rPr>
                <w:rFonts w:eastAsia="Times New Roman" w:cs="Arial"/>
              </w:rPr>
              <w:t>he consultant will conduct approximately 20 interviews, guided by semi-structured interview protocols tailored to the national context and categories of stakeholders. The interview sample will be representative in terms of role (e.g. evaluation commissioners and users, as well as those involved in conducting evaluations), level of influence and involvement, and sector (i.e. looking at whole-of government as well as departmental, ministerial, or subnational levels; and seeking stakeholders from government, civil society, and the private sector, as well as from international organizations and other development partners). It is expected that the interview sample will include the following categories:</w:t>
            </w:r>
          </w:p>
          <w:p w14:paraId="13437772" w14:textId="77777777" w:rsidR="005B6A50" w:rsidRPr="00754FD8" w:rsidRDefault="005B6A50" w:rsidP="005B6A50">
            <w:pPr>
              <w:numPr>
                <w:ilvl w:val="0"/>
                <w:numId w:val="37"/>
              </w:numPr>
              <w:spacing w:line="240" w:lineRule="auto"/>
              <w:rPr>
                <w:rFonts w:eastAsia="Times New Roman" w:cs="Arial"/>
              </w:rPr>
            </w:pPr>
            <w:r w:rsidRPr="00754FD8">
              <w:rPr>
                <w:rFonts w:eastAsia="Times New Roman" w:cs="Arial"/>
              </w:rPr>
              <w:t>Civil service officials with roles in oversight, management, and implementation of M&amp;E systems, with an emphasis on evaluation and SDG-related accountability roles;</w:t>
            </w:r>
          </w:p>
          <w:p w14:paraId="1E4A09F6" w14:textId="77777777" w:rsidR="005B6A50" w:rsidRPr="00754FD8" w:rsidRDefault="005B6A50" w:rsidP="005B6A50">
            <w:pPr>
              <w:numPr>
                <w:ilvl w:val="0"/>
                <w:numId w:val="37"/>
              </w:numPr>
              <w:spacing w:line="240" w:lineRule="auto"/>
              <w:rPr>
                <w:rFonts w:eastAsia="Times New Roman" w:cs="Arial"/>
              </w:rPr>
            </w:pPr>
            <w:r w:rsidRPr="00754FD8">
              <w:rPr>
                <w:rFonts w:eastAsia="Times New Roman" w:cs="Arial"/>
              </w:rPr>
              <w:t>Individuals with sectoral expertise and national experience related to key SDGs and evaluation issues such as social inclusion, gender equality, data, and localization;</w:t>
            </w:r>
          </w:p>
          <w:p w14:paraId="196CE907" w14:textId="77777777" w:rsidR="005B6A50" w:rsidRPr="00754FD8" w:rsidRDefault="005B6A50" w:rsidP="005B6A50">
            <w:pPr>
              <w:numPr>
                <w:ilvl w:val="0"/>
                <w:numId w:val="37"/>
              </w:numPr>
              <w:spacing w:line="240" w:lineRule="auto"/>
              <w:rPr>
                <w:rFonts w:eastAsia="Times New Roman" w:cs="Arial"/>
              </w:rPr>
            </w:pPr>
            <w:r w:rsidRPr="00754FD8">
              <w:rPr>
                <w:rFonts w:eastAsia="Times New Roman" w:cs="Arial"/>
              </w:rPr>
              <w:t>Selected political stakeholders, such as elected representatives, government or political leaders, or civil society representatives who have been involved in political oversight, commentary, or advocacy related to national evaluation or M&amp;E;</w:t>
            </w:r>
          </w:p>
          <w:p w14:paraId="0234700A" w14:textId="77777777" w:rsidR="005B6A50" w:rsidRPr="00754FD8" w:rsidRDefault="005B6A50" w:rsidP="005B6A50">
            <w:pPr>
              <w:numPr>
                <w:ilvl w:val="0"/>
                <w:numId w:val="37"/>
              </w:numPr>
              <w:spacing w:line="240" w:lineRule="auto"/>
              <w:rPr>
                <w:rFonts w:eastAsia="Times New Roman" w:cs="Arial"/>
              </w:rPr>
            </w:pPr>
            <w:r w:rsidRPr="00754FD8">
              <w:rPr>
                <w:rFonts w:eastAsia="Times New Roman" w:cs="Arial"/>
              </w:rPr>
              <w:t>Private or non-profit sector individuals with particular interest and/or expertise related to evaluation and/or M&amp;E-relevant aspects of SDGs (e.g. academics, consultants, or non-profit sector researchers working in this area; representatives of voluntary organizations for professional evaluation - VOPEs; professional evaluators); and</w:t>
            </w:r>
          </w:p>
          <w:p w14:paraId="30BACF7B" w14:textId="77777777" w:rsidR="005B6A50" w:rsidRPr="00754FD8" w:rsidRDefault="005B6A50" w:rsidP="005B6A50">
            <w:pPr>
              <w:numPr>
                <w:ilvl w:val="0"/>
                <w:numId w:val="37"/>
              </w:numPr>
              <w:spacing w:line="240" w:lineRule="auto"/>
              <w:rPr>
                <w:rFonts w:eastAsia="Times New Roman" w:cs="Arial"/>
              </w:rPr>
            </w:pPr>
            <w:r w:rsidRPr="00754FD8">
              <w:rPr>
                <w:rFonts w:eastAsia="Times New Roman" w:cs="Arial"/>
              </w:rPr>
              <w:t>Representatives from international organizations, such as bilateral and multilateral donor organizations, INGOs, or NGOs with roles or experience relevant to the national M&amp;E system.</w:t>
            </w:r>
          </w:p>
          <w:p w14:paraId="09B65CBC" w14:textId="77777777" w:rsidR="005B6A50" w:rsidRPr="00754FD8" w:rsidRDefault="005B6A50" w:rsidP="005B6A50">
            <w:pPr>
              <w:rPr>
                <w:rFonts w:eastAsia="Times New Roman" w:cs="Arial"/>
              </w:rPr>
            </w:pPr>
            <w:r w:rsidRPr="00754FD8">
              <w:rPr>
                <w:rFonts w:eastAsia="Times New Roman" w:cs="Arial"/>
              </w:rPr>
              <w:t> </w:t>
            </w:r>
          </w:p>
          <w:p w14:paraId="34104182" w14:textId="77777777" w:rsidR="005B6A50" w:rsidRPr="00754FD8" w:rsidRDefault="005B6A50" w:rsidP="005B6A50">
            <w:pPr>
              <w:rPr>
                <w:rFonts w:eastAsia="Times New Roman" w:cs="Arial"/>
              </w:rPr>
            </w:pPr>
            <w:r w:rsidRPr="00754FD8">
              <w:rPr>
                <w:rFonts w:eastAsia="Times New Roman" w:cs="Arial"/>
                <w:b/>
                <w:bCs/>
                <w:i/>
                <w:iCs/>
              </w:rPr>
              <w:t xml:space="preserve">c) Stakeholder roundtables/national workshop. </w:t>
            </w:r>
            <w:r w:rsidRPr="00754FD8">
              <w:rPr>
                <w:rFonts w:eastAsia="Times New Roman" w:cs="Arial"/>
                <w:bCs/>
                <w:iCs/>
              </w:rPr>
              <w:t>T</w:t>
            </w:r>
            <w:r w:rsidRPr="00754FD8">
              <w:rPr>
                <w:rFonts w:eastAsia="Times New Roman" w:cs="Arial"/>
              </w:rPr>
              <w:t>he consultant will facilitate the discussion of a limited selection of questions related to NECD and the 2030 Agenda at a national workshop/roundtable. These opportunities will</w:t>
            </w:r>
          </w:p>
          <w:p w14:paraId="6EADEE51" w14:textId="77777777" w:rsidR="005B6A50" w:rsidRPr="00754FD8" w:rsidRDefault="005B6A50" w:rsidP="005B6A50">
            <w:pPr>
              <w:numPr>
                <w:ilvl w:val="0"/>
                <w:numId w:val="38"/>
              </w:numPr>
              <w:spacing w:line="240" w:lineRule="auto"/>
              <w:rPr>
                <w:rFonts w:eastAsia="Times New Roman" w:cs="Arial"/>
              </w:rPr>
            </w:pPr>
            <w:r w:rsidRPr="00754FD8">
              <w:rPr>
                <w:rFonts w:eastAsia="Times New Roman" w:cs="Arial"/>
              </w:rPr>
              <w:t>Promote sharing of perspectives amongst stakeholders and peer-to-peer learning and networking;</w:t>
            </w:r>
          </w:p>
          <w:p w14:paraId="219C8E51" w14:textId="77777777" w:rsidR="005B6A50" w:rsidRPr="00754FD8" w:rsidRDefault="005B6A50" w:rsidP="005B6A50">
            <w:pPr>
              <w:numPr>
                <w:ilvl w:val="0"/>
                <w:numId w:val="38"/>
              </w:numPr>
              <w:spacing w:line="240" w:lineRule="auto"/>
              <w:rPr>
                <w:rFonts w:eastAsia="Times New Roman" w:cs="Arial"/>
              </w:rPr>
            </w:pPr>
            <w:r w:rsidRPr="00754FD8">
              <w:rPr>
                <w:rFonts w:eastAsia="Times New Roman" w:cs="Arial"/>
              </w:rPr>
              <w:t>Facilitate triangulation and validation of emerging case study findings; and</w:t>
            </w:r>
          </w:p>
          <w:p w14:paraId="0E0C7AB1" w14:textId="77777777" w:rsidR="005B6A50" w:rsidRPr="00754FD8" w:rsidRDefault="005B6A50" w:rsidP="005B6A50">
            <w:pPr>
              <w:numPr>
                <w:ilvl w:val="0"/>
                <w:numId w:val="38"/>
              </w:numPr>
              <w:spacing w:line="240" w:lineRule="auto"/>
              <w:rPr>
                <w:rFonts w:eastAsia="Times New Roman" w:cs="Arial"/>
              </w:rPr>
            </w:pPr>
            <w:r w:rsidRPr="00754FD8">
              <w:rPr>
                <w:rFonts w:eastAsia="Times New Roman" w:cs="Arial"/>
              </w:rPr>
              <w:t>Depending on timing in the process, serve to initiate discussion among national stakeholders of next steps, or a national "road map" for developing national evaluation capacity in the context of the SDGs.</w:t>
            </w:r>
          </w:p>
          <w:p w14:paraId="0FCB93CC" w14:textId="77777777" w:rsidR="005B6A50" w:rsidRPr="00754FD8" w:rsidRDefault="005B6A50" w:rsidP="005B6A50">
            <w:pPr>
              <w:rPr>
                <w:rFonts w:eastAsia="Times New Roman" w:cs="Arial"/>
              </w:rPr>
            </w:pPr>
            <w:r w:rsidRPr="00754FD8">
              <w:rPr>
                <w:rFonts w:eastAsia="Times New Roman" w:cs="Arial"/>
              </w:rPr>
              <w:t> </w:t>
            </w:r>
          </w:p>
          <w:p w14:paraId="0FF1B521" w14:textId="77777777" w:rsidR="005B6A50" w:rsidRPr="00754FD8" w:rsidRDefault="005B6A50" w:rsidP="005B6A50">
            <w:pPr>
              <w:rPr>
                <w:rFonts w:eastAsia="Times New Roman" w:cs="Arial"/>
              </w:rPr>
            </w:pPr>
            <w:r w:rsidRPr="00754FD8">
              <w:rPr>
                <w:rFonts w:eastAsia="Times New Roman" w:cs="Arial"/>
                <w:b/>
                <w:bCs/>
                <w:i/>
                <w:iCs/>
              </w:rPr>
              <w:t>d) Survey</w:t>
            </w:r>
            <w:r w:rsidRPr="00754FD8">
              <w:rPr>
                <w:rFonts w:eastAsia="Times New Roman" w:cs="Arial"/>
                <w:b/>
                <w:bCs/>
              </w:rPr>
              <w:t xml:space="preserve">. </w:t>
            </w:r>
            <w:r w:rsidRPr="00754FD8">
              <w:rPr>
                <w:rFonts w:eastAsia="Times New Roman" w:cs="Arial"/>
              </w:rPr>
              <w:t xml:space="preserve">In order to gather data from a larger pool of respondents beyond those interviewed, a survey will be developed and administered. The main part of the survey will be standardized for application across the case studies </w:t>
            </w:r>
            <w:r w:rsidRPr="00754FD8">
              <w:rPr>
                <w:rFonts w:eastAsia="Times New Roman" w:cs="Arial"/>
              </w:rPr>
              <w:lastRenderedPageBreak/>
              <w:t>for comparability; however, it may include sections tailored to each country and – if relevant – specific sectors. The survey will:</w:t>
            </w:r>
          </w:p>
          <w:p w14:paraId="46BE796C" w14:textId="77777777" w:rsidR="005B6A50" w:rsidRPr="00754FD8" w:rsidRDefault="005B6A50" w:rsidP="005B6A50">
            <w:pPr>
              <w:numPr>
                <w:ilvl w:val="0"/>
                <w:numId w:val="39"/>
              </w:numPr>
              <w:spacing w:line="240" w:lineRule="auto"/>
              <w:rPr>
                <w:rFonts w:eastAsia="Times New Roman" w:cs="Arial"/>
              </w:rPr>
            </w:pPr>
            <w:r w:rsidRPr="00754FD8">
              <w:rPr>
                <w:rFonts w:eastAsia="Times New Roman" w:cs="Arial"/>
              </w:rPr>
              <w:t>Complement the interviews and expand the case study evidence base;</w:t>
            </w:r>
          </w:p>
          <w:p w14:paraId="1444F430" w14:textId="77777777" w:rsidR="005B6A50" w:rsidRPr="00754FD8" w:rsidRDefault="005B6A50" w:rsidP="005B6A50">
            <w:pPr>
              <w:numPr>
                <w:ilvl w:val="0"/>
                <w:numId w:val="39"/>
              </w:numPr>
              <w:spacing w:line="240" w:lineRule="auto"/>
              <w:rPr>
                <w:rFonts w:eastAsia="Times New Roman" w:cs="Arial"/>
              </w:rPr>
            </w:pPr>
            <w:r w:rsidRPr="00754FD8">
              <w:rPr>
                <w:rFonts w:eastAsia="Times New Roman" w:cs="Arial"/>
              </w:rPr>
              <w:t>Emphasize issues of individual and institutional evaluation awareness and capacity;</w:t>
            </w:r>
          </w:p>
          <w:p w14:paraId="345881A5" w14:textId="77777777" w:rsidR="005B6A50" w:rsidRPr="00754FD8" w:rsidRDefault="005B6A50" w:rsidP="005B6A50">
            <w:pPr>
              <w:numPr>
                <w:ilvl w:val="0"/>
                <w:numId w:val="39"/>
              </w:numPr>
              <w:spacing w:line="240" w:lineRule="auto"/>
              <w:rPr>
                <w:rFonts w:eastAsia="Times New Roman" w:cs="Arial"/>
              </w:rPr>
            </w:pPr>
            <w:r w:rsidRPr="00754FD8">
              <w:rPr>
                <w:rFonts w:eastAsia="Times New Roman" w:cs="Arial"/>
              </w:rPr>
              <w:t>Target the same categories of respondents as the interviews;</w:t>
            </w:r>
          </w:p>
          <w:p w14:paraId="42727739" w14:textId="77777777" w:rsidR="005B6A50" w:rsidRPr="00754FD8" w:rsidRDefault="005B6A50" w:rsidP="005B6A50">
            <w:pPr>
              <w:numPr>
                <w:ilvl w:val="0"/>
                <w:numId w:val="39"/>
              </w:numPr>
              <w:spacing w:line="240" w:lineRule="auto"/>
              <w:rPr>
                <w:rFonts w:eastAsia="Times New Roman" w:cs="Arial"/>
              </w:rPr>
            </w:pPr>
            <w:r w:rsidRPr="00754FD8">
              <w:rPr>
                <w:rFonts w:eastAsia="Times New Roman" w:cs="Arial"/>
              </w:rPr>
              <w:t>Be administered with the assistance of relevant contacts within government and VOPEs, as identified and facilitated by the UNICEF and UNDP focal points.</w:t>
            </w:r>
          </w:p>
          <w:p w14:paraId="3C54AF35" w14:textId="77777777" w:rsidR="005B6A50" w:rsidRPr="00754FD8" w:rsidRDefault="005B6A50" w:rsidP="005B6A50">
            <w:pPr>
              <w:rPr>
                <w:rFonts w:eastAsia="Times New Roman" w:cs="Arial"/>
              </w:rPr>
            </w:pPr>
            <w:r w:rsidRPr="00754FD8">
              <w:rPr>
                <w:rFonts w:eastAsia="Times New Roman" w:cs="Arial"/>
              </w:rPr>
              <w:t> </w:t>
            </w:r>
          </w:p>
          <w:p w14:paraId="17D25481" w14:textId="77777777" w:rsidR="005B6A50" w:rsidRPr="00754FD8" w:rsidRDefault="005B6A50" w:rsidP="005B6A50">
            <w:pPr>
              <w:rPr>
                <w:rFonts w:eastAsia="Times New Roman" w:cs="Arial"/>
              </w:rPr>
            </w:pPr>
            <w:r w:rsidRPr="00754FD8">
              <w:rPr>
                <w:rFonts w:eastAsia="Times New Roman" w:cs="Arial"/>
                <w:b/>
                <w:bCs/>
              </w:rPr>
              <w:t xml:space="preserve">2. </w:t>
            </w:r>
            <w:r w:rsidRPr="00754FD8">
              <w:rPr>
                <w:rFonts w:eastAsia="Times New Roman" w:cs="Arial"/>
                <w:b/>
                <w:bCs/>
                <w:u w:val="single"/>
              </w:rPr>
              <w:t>Data analysis</w:t>
            </w:r>
            <w:r w:rsidRPr="00754FD8">
              <w:rPr>
                <w:rFonts w:eastAsia="Times New Roman" w:cs="Arial"/>
                <w:b/>
                <w:bCs/>
              </w:rPr>
              <w:t xml:space="preserve">. </w:t>
            </w:r>
            <w:r w:rsidRPr="00754FD8">
              <w:rPr>
                <w:rFonts w:eastAsia="Times New Roman" w:cs="Arial"/>
              </w:rPr>
              <w:t>This will be based on the common study framework that will be supplied to the consultant.</w:t>
            </w:r>
          </w:p>
          <w:p w14:paraId="7B00A0F1" w14:textId="77777777" w:rsidR="005B6A50" w:rsidRPr="00754FD8" w:rsidRDefault="005B6A50" w:rsidP="005B6A50">
            <w:pPr>
              <w:rPr>
                <w:rFonts w:eastAsia="Times New Roman" w:cs="Arial"/>
              </w:rPr>
            </w:pPr>
            <w:r w:rsidRPr="00754FD8">
              <w:rPr>
                <w:rFonts w:eastAsia="Times New Roman" w:cs="Arial"/>
              </w:rPr>
              <w:t> </w:t>
            </w:r>
          </w:p>
          <w:p w14:paraId="622B33B6" w14:textId="77777777" w:rsidR="005B6A50" w:rsidRPr="00754FD8" w:rsidRDefault="005B6A50" w:rsidP="005B6A50">
            <w:pPr>
              <w:rPr>
                <w:rFonts w:eastAsia="Times New Roman" w:cs="Arial"/>
              </w:rPr>
            </w:pPr>
            <w:r w:rsidRPr="00754FD8">
              <w:rPr>
                <w:rFonts w:eastAsia="Times New Roman" w:cs="Arial"/>
                <w:b/>
                <w:bCs/>
              </w:rPr>
              <w:t xml:space="preserve">3. </w:t>
            </w:r>
            <w:r w:rsidRPr="00754FD8">
              <w:rPr>
                <w:rFonts w:eastAsia="Times New Roman" w:cs="Arial"/>
                <w:b/>
                <w:bCs/>
                <w:u w:val="single"/>
              </w:rPr>
              <w:t>Report writing and presentation of findings in National Consultative Meeting</w:t>
            </w:r>
            <w:r w:rsidRPr="00754FD8">
              <w:rPr>
                <w:rFonts w:eastAsia="Times New Roman" w:cs="Arial"/>
                <w:b/>
                <w:bCs/>
              </w:rPr>
              <w:t xml:space="preserve">. </w:t>
            </w:r>
            <w:r w:rsidRPr="00754FD8">
              <w:rPr>
                <w:rFonts w:eastAsia="Times New Roman" w:cs="Arial"/>
              </w:rPr>
              <w:t>The consultant will be responsible for:</w:t>
            </w:r>
          </w:p>
          <w:p w14:paraId="2E6BB831" w14:textId="77777777" w:rsidR="005B6A50" w:rsidRPr="00754FD8" w:rsidRDefault="005B6A50" w:rsidP="005B6A50">
            <w:pPr>
              <w:numPr>
                <w:ilvl w:val="0"/>
                <w:numId w:val="35"/>
              </w:numPr>
              <w:spacing w:line="240" w:lineRule="auto"/>
              <w:rPr>
                <w:rFonts w:eastAsia="Times New Roman" w:cs="Arial"/>
              </w:rPr>
            </w:pPr>
            <w:r w:rsidRPr="00754FD8">
              <w:rPr>
                <w:rFonts w:eastAsia="Times New Roman" w:cs="Arial"/>
              </w:rPr>
              <w:t>Preparing the first draft case study report (in English, 15 – 20 pages, exclusive of executive summary and annexes) to be submitted in draft form to the Senior Evaluation Experts for feedback, with copy to UNICEF. Feedback will be provided within one week of receipt of draft.</w:t>
            </w:r>
          </w:p>
          <w:p w14:paraId="7585F8EE" w14:textId="77777777" w:rsidR="005B6A50" w:rsidRPr="00754FD8" w:rsidRDefault="005B6A50" w:rsidP="005B6A50">
            <w:pPr>
              <w:numPr>
                <w:ilvl w:val="0"/>
                <w:numId w:val="35"/>
              </w:numPr>
              <w:spacing w:line="240" w:lineRule="auto"/>
              <w:rPr>
                <w:rFonts w:eastAsia="Times New Roman" w:cs="Arial"/>
              </w:rPr>
            </w:pPr>
            <w:r w:rsidRPr="00754FD8">
              <w:rPr>
                <w:rFonts w:eastAsia="Times New Roman" w:cs="Arial"/>
              </w:rPr>
              <w:t>Preparing the second draft case study report and presenting it to a national consultative workshop to collect inputs and feedback.</w:t>
            </w:r>
          </w:p>
          <w:p w14:paraId="2FABA717" w14:textId="77777777" w:rsidR="005B6A50" w:rsidRPr="00754FD8" w:rsidRDefault="005B6A50" w:rsidP="005B6A50">
            <w:pPr>
              <w:numPr>
                <w:ilvl w:val="0"/>
                <w:numId w:val="35"/>
              </w:numPr>
              <w:spacing w:line="240" w:lineRule="auto"/>
              <w:rPr>
                <w:rFonts w:eastAsia="Times New Roman" w:cs="Arial"/>
              </w:rPr>
            </w:pPr>
            <w:r w:rsidRPr="00754FD8">
              <w:rPr>
                <w:rFonts w:eastAsia="Times New Roman" w:cs="Arial"/>
              </w:rPr>
              <w:t>Preparing the final case study report incorporating inputs from all parties as mentioned above, including any necessary annexes, a two to three page executive summary, in addition to a PowerPoint presentation (approximately 20 slides).</w:t>
            </w:r>
          </w:p>
          <w:p w14:paraId="6735F518" w14:textId="77777777" w:rsidR="005B6A50" w:rsidRDefault="005B6A50" w:rsidP="005B6A50">
            <w:pPr>
              <w:spacing w:line="240" w:lineRule="auto"/>
              <w:rPr>
                <w:rFonts w:ascii="Cambria" w:eastAsia="Arial Unicode MS" w:hAnsi="Cambria" w:cs="Gill Sans"/>
                <w:color w:val="auto"/>
                <w:lang w:val="en-AU"/>
              </w:rPr>
            </w:pPr>
          </w:p>
          <w:p w14:paraId="0DBD4EA2" w14:textId="1C088E76" w:rsidR="005B6A50" w:rsidRPr="00574342" w:rsidRDefault="005B6A50" w:rsidP="005B6A50">
            <w:pPr>
              <w:spacing w:before="120" w:after="100" w:afterAutospacing="1" w:line="240" w:lineRule="auto"/>
              <w:rPr>
                <w:rFonts w:asciiTheme="majorHAnsi" w:eastAsia="Arial Unicode MS" w:hAnsiTheme="majorHAnsi" w:cs="Gill Sans"/>
                <w:color w:val="auto"/>
                <w:lang w:val="en-AU"/>
              </w:rPr>
            </w:pPr>
            <w:r>
              <w:rPr>
                <w:rFonts w:eastAsia="Times New Roman" w:cs="Arial"/>
              </w:rPr>
              <w:t>D</w:t>
            </w:r>
            <w:r w:rsidRPr="00754FD8">
              <w:rPr>
                <w:rFonts w:eastAsia="Times New Roman" w:cs="Arial"/>
              </w:rPr>
              <w:t xml:space="preserve">eliverables </w:t>
            </w:r>
            <w:r>
              <w:rPr>
                <w:rFonts w:eastAsia="Times New Roman" w:cs="Arial"/>
              </w:rPr>
              <w:t xml:space="preserve">should </w:t>
            </w:r>
            <w:r w:rsidRPr="00754FD8">
              <w:rPr>
                <w:rFonts w:eastAsia="Times New Roman" w:cs="Arial"/>
              </w:rPr>
              <w:t>adhere to the formats, guidelines, and requirements of the UNICEF Style Guide and UNICEF Brand Toolkit and other government standards. They are expected to be of high quality and factually correct, employing truthful and relevant data and providing the list of references and data used in preparing the required analysis.</w:t>
            </w:r>
          </w:p>
        </w:tc>
      </w:tr>
      <w:tr w:rsidR="00C969FF" w:rsidRPr="00574342" w14:paraId="0DBD4EA9" w14:textId="77777777" w:rsidTr="005B6A50">
        <w:tc>
          <w:tcPr>
            <w:tcW w:w="4117" w:type="dxa"/>
            <w:gridSpan w:val="5"/>
            <w:tcBorders>
              <w:top w:val="single" w:sz="4" w:space="0" w:color="auto"/>
              <w:left w:val="single" w:sz="4" w:space="0" w:color="auto"/>
              <w:bottom w:val="single" w:sz="8" w:space="0" w:color="6D6D6D"/>
              <w:right w:val="single" w:sz="4" w:space="0" w:color="auto"/>
            </w:tcBorders>
            <w:shd w:val="clear" w:color="auto" w:fill="auto"/>
            <w:noWrap/>
          </w:tcPr>
          <w:p w14:paraId="0DBD4EA4" w14:textId="77777777" w:rsidR="00C969FF" w:rsidRPr="00574342" w:rsidRDefault="00C969FF" w:rsidP="00FA025F">
            <w:pPr>
              <w:spacing w:before="60" w:after="60" w:line="240" w:lineRule="auto"/>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lastRenderedPageBreak/>
              <w:t>Tasks/Milestone:</w:t>
            </w:r>
          </w:p>
        </w:tc>
        <w:tc>
          <w:tcPr>
            <w:tcW w:w="3155" w:type="dxa"/>
            <w:gridSpan w:val="8"/>
            <w:tcBorders>
              <w:top w:val="single" w:sz="4" w:space="0" w:color="auto"/>
              <w:left w:val="single" w:sz="4" w:space="0" w:color="auto"/>
              <w:bottom w:val="single" w:sz="8" w:space="0" w:color="6D6D6D"/>
              <w:right w:val="single" w:sz="4" w:space="0" w:color="auto"/>
            </w:tcBorders>
            <w:shd w:val="clear" w:color="auto" w:fill="auto"/>
          </w:tcPr>
          <w:p w14:paraId="0DBD4EA5" w14:textId="77777777" w:rsidR="00C969FF" w:rsidRPr="00574342" w:rsidRDefault="00C969FF" w:rsidP="00B5534C">
            <w:pPr>
              <w:spacing w:before="60" w:after="60" w:line="240" w:lineRule="auto"/>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t>Deliverables/Outputs:</w:t>
            </w:r>
          </w:p>
        </w:tc>
        <w:tc>
          <w:tcPr>
            <w:tcW w:w="1719" w:type="dxa"/>
            <w:gridSpan w:val="2"/>
            <w:tcBorders>
              <w:top w:val="single" w:sz="4" w:space="0" w:color="auto"/>
              <w:left w:val="single" w:sz="4" w:space="0" w:color="auto"/>
              <w:bottom w:val="single" w:sz="8" w:space="0" w:color="6D6D6D"/>
              <w:right w:val="single" w:sz="4" w:space="0" w:color="auto"/>
            </w:tcBorders>
            <w:shd w:val="clear" w:color="auto" w:fill="auto"/>
          </w:tcPr>
          <w:p w14:paraId="0DBD4EA6" w14:textId="77777777" w:rsidR="00C969FF" w:rsidRPr="00574342" w:rsidRDefault="00C969FF" w:rsidP="007268AD">
            <w:pPr>
              <w:spacing w:before="60" w:after="60" w:line="240" w:lineRule="auto"/>
              <w:jc w:val="center"/>
              <w:rPr>
                <w:rFonts w:asciiTheme="majorHAnsi" w:eastAsia="Arial Unicode MS" w:hAnsiTheme="majorHAnsi" w:cs="Gill Sans"/>
                <w:i/>
                <w:color w:val="D1282E"/>
                <w:lang w:val="en-AU"/>
              </w:rPr>
            </w:pPr>
            <w:r w:rsidRPr="00574342">
              <w:rPr>
                <w:rFonts w:asciiTheme="majorHAnsi" w:eastAsia="Arial Unicode MS" w:hAnsiTheme="majorHAnsi" w:cs="Gill Sans"/>
                <w:color w:val="auto"/>
                <w:lang w:val="en-AU"/>
              </w:rPr>
              <w:t>Date</w:t>
            </w:r>
          </w:p>
        </w:tc>
        <w:tc>
          <w:tcPr>
            <w:tcW w:w="1719" w:type="dxa"/>
            <w:tcBorders>
              <w:top w:val="single" w:sz="4" w:space="0" w:color="auto"/>
              <w:left w:val="single" w:sz="4" w:space="0" w:color="auto"/>
              <w:bottom w:val="single" w:sz="8" w:space="0" w:color="6D6D6D"/>
              <w:right w:val="single" w:sz="4" w:space="0" w:color="auto"/>
            </w:tcBorders>
            <w:shd w:val="clear" w:color="auto" w:fill="auto"/>
          </w:tcPr>
          <w:p w14:paraId="0DBD4EA7" w14:textId="77777777" w:rsidR="00C969FF" w:rsidRPr="00574342" w:rsidRDefault="00C969FF" w:rsidP="007268AD">
            <w:pPr>
              <w:spacing w:before="60" w:after="60" w:line="240" w:lineRule="auto"/>
              <w:jc w:val="center"/>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 xml:space="preserve">Amount </w:t>
            </w:r>
          </w:p>
          <w:p w14:paraId="0DBD4EA8" w14:textId="77777777" w:rsidR="00C969FF" w:rsidRPr="00574342" w:rsidRDefault="00C969FF" w:rsidP="00B5534C">
            <w:pPr>
              <w:spacing w:before="60" w:after="120" w:line="240" w:lineRule="auto"/>
              <w:jc w:val="center"/>
              <w:rPr>
                <w:rFonts w:asciiTheme="majorHAnsi" w:eastAsia="Arial Unicode MS" w:hAnsiTheme="majorHAnsi" w:cs="Gill Sans"/>
                <w:color w:val="auto"/>
                <w:sz w:val="16"/>
                <w:szCs w:val="16"/>
                <w:lang w:val="en-AU"/>
              </w:rPr>
            </w:pPr>
            <w:r w:rsidRPr="00574342">
              <w:rPr>
                <w:rFonts w:asciiTheme="majorHAnsi" w:eastAsia="Arial Unicode MS" w:hAnsiTheme="majorHAnsi" w:cs="Gill Sans"/>
                <w:color w:val="auto"/>
                <w:sz w:val="16"/>
                <w:szCs w:val="16"/>
                <w:lang w:val="en-AU"/>
              </w:rPr>
              <w:t>(</w:t>
            </w:r>
            <w:r w:rsidR="009136B8" w:rsidRPr="00574342">
              <w:rPr>
                <w:rFonts w:asciiTheme="majorHAnsi" w:eastAsia="Arial Unicode MS" w:hAnsiTheme="majorHAnsi" w:cs="Gill Sans"/>
                <w:color w:val="auto"/>
                <w:sz w:val="16"/>
                <w:szCs w:val="16"/>
                <w:lang w:val="en-AU"/>
              </w:rPr>
              <w:t>final amount to be agreed by HR</w:t>
            </w:r>
            <w:r w:rsidRPr="00574342">
              <w:rPr>
                <w:rFonts w:asciiTheme="majorHAnsi" w:eastAsia="Arial Unicode MS" w:hAnsiTheme="majorHAnsi" w:cs="Gill Sans"/>
                <w:color w:val="auto"/>
                <w:sz w:val="16"/>
                <w:szCs w:val="16"/>
                <w:lang w:val="en-AU"/>
              </w:rPr>
              <w:t>)</w:t>
            </w:r>
          </w:p>
        </w:tc>
      </w:tr>
      <w:tr w:rsidR="008C3E14" w:rsidRPr="00574342" w14:paraId="0DBD4EAE" w14:textId="77777777" w:rsidTr="008C3E14">
        <w:tc>
          <w:tcPr>
            <w:tcW w:w="4117" w:type="dxa"/>
            <w:gridSpan w:val="5"/>
            <w:tcBorders>
              <w:bottom w:val="single" w:sz="4" w:space="0" w:color="auto"/>
            </w:tcBorders>
            <w:noWrap/>
          </w:tcPr>
          <w:p w14:paraId="0DBD4EAA" w14:textId="5DF2687B" w:rsidR="008C3E14" w:rsidRPr="00574342" w:rsidRDefault="008C3E14" w:rsidP="008C3E14">
            <w:pPr>
              <w:spacing w:after="60"/>
              <w:rPr>
                <w:rFonts w:asciiTheme="majorHAnsi" w:hAnsiTheme="majorHAnsi" w:cs="Arial"/>
                <w:b/>
              </w:rPr>
            </w:pPr>
            <w:r w:rsidRPr="00076B41">
              <w:rPr>
                <w:rFonts w:ascii="Cambria" w:eastAsia="Arial Unicode MS" w:hAnsi="Cambria" w:cs="Arial Unicode MS"/>
                <w:i/>
                <w:color w:val="auto"/>
                <w:lang w:val="en-AU"/>
              </w:rPr>
              <w:t>Preparing the first draft case study report (in English, 15 – 20 pages, exclusive of executive summary and annexes) to be submitted in draft form to the Senior Evaluation Experts for feedback, with copy to UNICEF. Feedback will be provided within one week of receipt of draft.</w:t>
            </w:r>
          </w:p>
        </w:tc>
        <w:tc>
          <w:tcPr>
            <w:tcW w:w="3155" w:type="dxa"/>
            <w:gridSpan w:val="8"/>
            <w:tcBorders>
              <w:bottom w:val="single" w:sz="4" w:space="0" w:color="auto"/>
            </w:tcBorders>
          </w:tcPr>
          <w:p w14:paraId="0DBD4EAB" w14:textId="379F2EB8" w:rsidR="008C3E14" w:rsidRPr="00574342" w:rsidRDefault="008C3E14" w:rsidP="008C3E14">
            <w:pPr>
              <w:rPr>
                <w:rFonts w:asciiTheme="majorHAnsi" w:hAnsiTheme="majorHAnsi" w:cs="Arial"/>
                <w:b/>
              </w:rPr>
            </w:pPr>
            <w:r>
              <w:rPr>
                <w:rFonts w:ascii="Cambria" w:eastAsia="Arial Unicode MS" w:hAnsi="Cambria" w:cs="Arial Unicode MS"/>
                <w:i/>
                <w:color w:val="auto"/>
                <w:lang w:val="en-AU"/>
              </w:rPr>
              <w:t>First draft case study report</w:t>
            </w:r>
          </w:p>
        </w:tc>
        <w:tc>
          <w:tcPr>
            <w:tcW w:w="1719" w:type="dxa"/>
            <w:gridSpan w:val="2"/>
            <w:tcBorders>
              <w:bottom w:val="single" w:sz="4" w:space="0" w:color="auto"/>
            </w:tcBorders>
          </w:tcPr>
          <w:p w14:paraId="0DBD4EAC" w14:textId="70D0223B" w:rsidR="008C3E14" w:rsidRPr="00574342" w:rsidRDefault="008C3E14" w:rsidP="008C3E14">
            <w:pPr>
              <w:rPr>
                <w:rFonts w:asciiTheme="majorHAnsi" w:hAnsiTheme="majorHAnsi" w:cs="Arial"/>
                <w:b/>
              </w:rPr>
            </w:pPr>
            <w:r>
              <w:rPr>
                <w:rFonts w:ascii="Cambria" w:eastAsia="Arial Unicode MS" w:hAnsi="Cambria" w:cs="Arial Unicode MS"/>
                <w:color w:val="auto"/>
                <w:lang w:val="en-AU"/>
              </w:rPr>
              <w:t>31/07/2017</w:t>
            </w:r>
          </w:p>
        </w:tc>
        <w:tc>
          <w:tcPr>
            <w:tcW w:w="1719" w:type="dxa"/>
            <w:tcBorders>
              <w:top w:val="single" w:sz="8" w:space="0" w:color="6D6D6D"/>
              <w:left w:val="single" w:sz="8" w:space="0" w:color="6D6D6D"/>
              <w:bottom w:val="single" w:sz="4" w:space="0" w:color="auto"/>
              <w:right w:val="single" w:sz="8" w:space="0" w:color="6D6D6D"/>
            </w:tcBorders>
            <w:shd w:val="clear" w:color="auto" w:fill="auto"/>
          </w:tcPr>
          <w:p w14:paraId="0DBD4EAD" w14:textId="7BBE2605" w:rsidR="008C3E14" w:rsidRPr="00574342" w:rsidRDefault="008C3E14" w:rsidP="008C3E14">
            <w:pPr>
              <w:spacing w:before="60" w:after="60"/>
              <w:rPr>
                <w:rFonts w:asciiTheme="majorHAnsi" w:eastAsia="Arial Unicode MS" w:hAnsiTheme="majorHAnsi" w:cs="Gill Sans"/>
                <w:color w:val="auto"/>
                <w:lang w:val="en-AU"/>
              </w:rPr>
            </w:pPr>
            <w:r>
              <w:rPr>
                <w:rFonts w:ascii="Cambria" w:eastAsia="Arial Unicode MS" w:hAnsi="Cambria" w:cs="Gill Sans"/>
                <w:color w:val="auto"/>
                <w:lang w:val="en-AU"/>
              </w:rPr>
              <w:t>10 days</w:t>
            </w:r>
          </w:p>
        </w:tc>
      </w:tr>
      <w:tr w:rsidR="008C3E14" w:rsidRPr="00574342" w14:paraId="0DBD4EB3" w14:textId="77777777" w:rsidTr="008C3E14">
        <w:tc>
          <w:tcPr>
            <w:tcW w:w="4117" w:type="dxa"/>
            <w:gridSpan w:val="5"/>
            <w:tcBorders>
              <w:top w:val="single" w:sz="4" w:space="0" w:color="auto"/>
            </w:tcBorders>
            <w:noWrap/>
          </w:tcPr>
          <w:p w14:paraId="0DBD4EAF" w14:textId="48C57FEF" w:rsidR="008C3E14" w:rsidRPr="00574342" w:rsidRDefault="008C3E14" w:rsidP="008C3E14">
            <w:pPr>
              <w:spacing w:before="120" w:after="60"/>
              <w:rPr>
                <w:rFonts w:asciiTheme="majorHAnsi" w:hAnsiTheme="majorHAnsi" w:cs="Arial"/>
              </w:rPr>
            </w:pPr>
            <w:r w:rsidRPr="00E40003">
              <w:rPr>
                <w:rFonts w:ascii="Cambria" w:eastAsia="Arial Unicode MS" w:hAnsi="Cambria" w:cs="Arial Unicode MS"/>
                <w:i/>
                <w:color w:val="auto"/>
                <w:lang w:val="en-AU"/>
              </w:rPr>
              <w:t>Preparing the second draft case study report and presenting it to a national consultative workshop to collect inputs and feedback.</w:t>
            </w:r>
          </w:p>
        </w:tc>
        <w:tc>
          <w:tcPr>
            <w:tcW w:w="3155" w:type="dxa"/>
            <w:gridSpan w:val="8"/>
            <w:tcBorders>
              <w:top w:val="single" w:sz="4" w:space="0" w:color="auto"/>
            </w:tcBorders>
          </w:tcPr>
          <w:p w14:paraId="0DBD4EB0" w14:textId="5BC9BFE0" w:rsidR="008C3E14" w:rsidRPr="002036A1" w:rsidRDefault="008C3E14" w:rsidP="008C3E14">
            <w:pPr>
              <w:spacing w:line="240" w:lineRule="auto"/>
              <w:rPr>
                <w:rFonts w:asciiTheme="majorHAnsi" w:hAnsiTheme="majorHAnsi" w:cs="Arial"/>
              </w:rPr>
            </w:pPr>
            <w:r>
              <w:rPr>
                <w:rFonts w:ascii="Cambria" w:eastAsia="Arial Unicode MS" w:hAnsi="Cambria" w:cs="Arial Unicode MS"/>
                <w:i/>
                <w:color w:val="auto"/>
                <w:lang w:val="en-AU"/>
              </w:rPr>
              <w:t>Second draft case study report</w:t>
            </w:r>
          </w:p>
        </w:tc>
        <w:tc>
          <w:tcPr>
            <w:tcW w:w="1719" w:type="dxa"/>
            <w:gridSpan w:val="2"/>
            <w:tcBorders>
              <w:top w:val="single" w:sz="4" w:space="0" w:color="auto"/>
            </w:tcBorders>
          </w:tcPr>
          <w:p w14:paraId="0DBD4EB1" w14:textId="65D2DC39" w:rsidR="008C3E14" w:rsidRPr="00574342" w:rsidRDefault="008C3E14" w:rsidP="008C3E14">
            <w:pPr>
              <w:spacing w:after="60"/>
              <w:rPr>
                <w:rFonts w:asciiTheme="majorHAnsi" w:hAnsiTheme="majorHAnsi" w:cs="Arial"/>
              </w:rPr>
            </w:pPr>
            <w:r>
              <w:rPr>
                <w:rFonts w:ascii="Cambria" w:eastAsia="Arial Unicode MS" w:hAnsi="Cambria" w:cs="Arial Unicode MS"/>
                <w:color w:val="auto"/>
                <w:lang w:val="en-AU"/>
              </w:rPr>
              <w:t>15/08/2017</w:t>
            </w:r>
          </w:p>
        </w:tc>
        <w:tc>
          <w:tcPr>
            <w:tcW w:w="1719" w:type="dxa"/>
            <w:tcBorders>
              <w:top w:val="single" w:sz="4" w:space="0" w:color="auto"/>
              <w:left w:val="single" w:sz="8" w:space="0" w:color="6D6D6D"/>
              <w:bottom w:val="single" w:sz="8" w:space="0" w:color="6D6D6D"/>
              <w:right w:val="single" w:sz="8" w:space="0" w:color="6D6D6D"/>
            </w:tcBorders>
            <w:shd w:val="clear" w:color="auto" w:fill="auto"/>
          </w:tcPr>
          <w:p w14:paraId="0DBD4EB2" w14:textId="65576D77" w:rsidR="008C3E14" w:rsidRPr="00574342" w:rsidRDefault="008C3E14" w:rsidP="008C3E14">
            <w:pPr>
              <w:spacing w:before="60" w:after="60"/>
              <w:rPr>
                <w:rFonts w:asciiTheme="majorHAnsi" w:eastAsia="Arial Unicode MS" w:hAnsiTheme="majorHAnsi" w:cs="Gill Sans"/>
                <w:color w:val="auto"/>
                <w:lang w:val="en-AU"/>
              </w:rPr>
            </w:pPr>
            <w:r>
              <w:rPr>
                <w:rFonts w:ascii="Cambria" w:eastAsia="Arial Unicode MS" w:hAnsi="Cambria" w:cs="Gill Sans"/>
                <w:color w:val="auto"/>
                <w:lang w:val="en-AU"/>
              </w:rPr>
              <w:t>05 days</w:t>
            </w:r>
          </w:p>
        </w:tc>
      </w:tr>
      <w:tr w:rsidR="008C3E14" w:rsidRPr="00574342" w14:paraId="0DBD4EB8" w14:textId="77777777" w:rsidTr="0027249C">
        <w:trPr>
          <w:trHeight w:val="475"/>
        </w:trPr>
        <w:tc>
          <w:tcPr>
            <w:tcW w:w="4117" w:type="dxa"/>
            <w:gridSpan w:val="5"/>
            <w:tcBorders>
              <w:bottom w:val="single" w:sz="8" w:space="0" w:color="6D6D6D"/>
            </w:tcBorders>
            <w:noWrap/>
          </w:tcPr>
          <w:p w14:paraId="0DBD4EB4" w14:textId="660F6A9C" w:rsidR="008C3E14" w:rsidRPr="00C302B1" w:rsidRDefault="008C3E14" w:rsidP="008C3E14">
            <w:pPr>
              <w:spacing w:before="60" w:after="60" w:line="240" w:lineRule="auto"/>
              <w:rPr>
                <w:rFonts w:asciiTheme="majorHAnsi" w:hAnsiTheme="majorHAnsi" w:cs="Arial"/>
              </w:rPr>
            </w:pPr>
            <w:r w:rsidRPr="00E40003">
              <w:rPr>
                <w:rFonts w:ascii="Cambria" w:eastAsia="Arial Unicode MS" w:hAnsi="Cambria" w:cs="Arial Unicode MS"/>
                <w:i/>
                <w:color w:val="auto"/>
                <w:lang w:val="en-AU"/>
              </w:rPr>
              <w:t>Preparing the final case study report incorporating inputs from all parties as mentioned above, including any necessary annexes, a two to three page executive summary, in addition to a PowerPoint presentation (approximately 20 slides).</w:t>
            </w:r>
          </w:p>
        </w:tc>
        <w:tc>
          <w:tcPr>
            <w:tcW w:w="3155" w:type="dxa"/>
            <w:gridSpan w:val="8"/>
            <w:tcBorders>
              <w:bottom w:val="single" w:sz="8" w:space="0" w:color="6D6D6D"/>
            </w:tcBorders>
          </w:tcPr>
          <w:p w14:paraId="0DBD4EB5" w14:textId="7879D097" w:rsidR="008C3E14" w:rsidRPr="00574342" w:rsidRDefault="008C3E14" w:rsidP="008C3E14">
            <w:pPr>
              <w:spacing w:before="60"/>
              <w:rPr>
                <w:rFonts w:asciiTheme="majorHAnsi" w:hAnsiTheme="majorHAnsi" w:cs="Arial"/>
              </w:rPr>
            </w:pPr>
            <w:r>
              <w:rPr>
                <w:rFonts w:ascii="Cambria" w:eastAsia="Arial Unicode MS" w:hAnsi="Cambria" w:cs="Arial Unicode MS"/>
                <w:i/>
                <w:color w:val="auto"/>
                <w:lang w:val="en-AU"/>
              </w:rPr>
              <w:t>Final case study report</w:t>
            </w:r>
          </w:p>
        </w:tc>
        <w:tc>
          <w:tcPr>
            <w:tcW w:w="1719" w:type="dxa"/>
            <w:gridSpan w:val="2"/>
            <w:tcBorders>
              <w:bottom w:val="single" w:sz="8" w:space="0" w:color="6D6D6D"/>
            </w:tcBorders>
          </w:tcPr>
          <w:p w14:paraId="0DBD4EB6" w14:textId="74441C99" w:rsidR="008C3E14" w:rsidRPr="00574342" w:rsidRDefault="008C3E14" w:rsidP="008C3E14">
            <w:pPr>
              <w:spacing w:before="60"/>
              <w:rPr>
                <w:rFonts w:asciiTheme="majorHAnsi" w:hAnsiTheme="majorHAnsi" w:cs="Arial"/>
              </w:rPr>
            </w:pPr>
            <w:r>
              <w:rPr>
                <w:rFonts w:ascii="Cambria" w:eastAsia="Arial Unicode MS" w:hAnsi="Cambria" w:cs="Arial Unicode MS"/>
                <w:color w:val="auto"/>
                <w:lang w:val="en-AU"/>
              </w:rPr>
              <w:t>31/08/2017</w:t>
            </w:r>
          </w:p>
        </w:tc>
        <w:tc>
          <w:tcPr>
            <w:tcW w:w="1719" w:type="dxa"/>
            <w:tcBorders>
              <w:top w:val="single" w:sz="8" w:space="0" w:color="6D6D6D"/>
              <w:left w:val="single" w:sz="8" w:space="0" w:color="6D6D6D"/>
              <w:bottom w:val="single" w:sz="8" w:space="0" w:color="6D6D6D"/>
              <w:right w:val="single" w:sz="8" w:space="0" w:color="6D6D6D"/>
            </w:tcBorders>
            <w:shd w:val="clear" w:color="auto" w:fill="auto"/>
          </w:tcPr>
          <w:p w14:paraId="0DBD4EB7" w14:textId="740A2193" w:rsidR="008C3E14" w:rsidRPr="00574342" w:rsidRDefault="008C3E14" w:rsidP="008C3E14">
            <w:pPr>
              <w:spacing w:line="240" w:lineRule="auto"/>
              <w:rPr>
                <w:rFonts w:asciiTheme="majorHAnsi" w:hAnsiTheme="majorHAnsi" w:cs="Arial"/>
              </w:rPr>
            </w:pPr>
            <w:r>
              <w:rPr>
                <w:rFonts w:ascii="Cambria" w:eastAsia="Arial Unicode MS" w:hAnsi="Cambria" w:cs="Gill Sans"/>
                <w:color w:val="auto"/>
                <w:lang w:val="en-AU"/>
              </w:rPr>
              <w:t>05 days</w:t>
            </w:r>
          </w:p>
        </w:tc>
      </w:tr>
    </w:tbl>
    <w:p w14:paraId="0DBD4EB9" w14:textId="77777777" w:rsidR="00B5534C" w:rsidRDefault="00B5534C">
      <w:pPr>
        <w:rPr>
          <w:rFonts w:asciiTheme="majorHAnsi" w:hAnsiTheme="majorHAnsi"/>
        </w:rPr>
      </w:pPr>
    </w:p>
    <w:p w14:paraId="0DBD4EBA" w14:textId="77777777" w:rsidR="002036A1" w:rsidRDefault="002036A1" w:rsidP="002036A1">
      <w:pPr>
        <w:rPr>
          <w:rFonts w:asciiTheme="majorHAnsi" w:hAnsiTheme="majorHAnsi"/>
          <w:sz w:val="16"/>
          <w:szCs w:val="16"/>
        </w:rPr>
      </w:pPr>
      <w:r w:rsidRPr="002036A1">
        <w:rPr>
          <w:rFonts w:asciiTheme="majorHAnsi" w:hAnsiTheme="majorHAnsi"/>
          <w:sz w:val="16"/>
          <w:szCs w:val="16"/>
        </w:rPr>
        <w:t>*</w:t>
      </w:r>
      <w:r w:rsidR="008E603E">
        <w:rPr>
          <w:rFonts w:asciiTheme="majorHAnsi" w:hAnsiTheme="majorHAnsi"/>
          <w:sz w:val="16"/>
          <w:szCs w:val="16"/>
        </w:rPr>
        <w:t>) Ref CF.AI.2013-001 Amend</w:t>
      </w:r>
      <w:r w:rsidR="00824D81">
        <w:rPr>
          <w:rFonts w:asciiTheme="majorHAnsi" w:hAnsiTheme="majorHAnsi"/>
          <w:sz w:val="16"/>
          <w:szCs w:val="16"/>
        </w:rPr>
        <w:t xml:space="preserve"> 2, work assignment should be: </w:t>
      </w:r>
      <w:r w:rsidRPr="002036A1">
        <w:rPr>
          <w:rFonts w:asciiTheme="majorHAnsi" w:hAnsiTheme="majorHAnsi"/>
          <w:sz w:val="16"/>
          <w:szCs w:val="16"/>
        </w:rPr>
        <w:t xml:space="preserve"> measurable, attainable, results-based and time-bound (“SMART”) and include:</w:t>
      </w:r>
    </w:p>
    <w:p w14:paraId="0DBD4EBB" w14:textId="77777777" w:rsidR="00824D81" w:rsidRPr="002036A1" w:rsidRDefault="00824D81" w:rsidP="002036A1">
      <w:pPr>
        <w:rPr>
          <w:rFonts w:asciiTheme="majorHAnsi" w:hAnsiTheme="majorHAnsi"/>
          <w:sz w:val="16"/>
          <w:szCs w:val="16"/>
        </w:rPr>
      </w:pPr>
    </w:p>
    <w:p w14:paraId="0DBD4EBC" w14:textId="77777777" w:rsidR="002036A1" w:rsidRDefault="002036A1" w:rsidP="002036A1">
      <w:pPr>
        <w:rPr>
          <w:rFonts w:asciiTheme="majorHAnsi" w:hAnsiTheme="majorHAnsi"/>
          <w:sz w:val="16"/>
          <w:szCs w:val="16"/>
        </w:rPr>
      </w:pPr>
      <w:r w:rsidRPr="002036A1">
        <w:rPr>
          <w:rFonts w:asciiTheme="majorHAnsi" w:hAnsiTheme="majorHAnsi"/>
          <w:sz w:val="16"/>
          <w:szCs w:val="16"/>
        </w:rPr>
        <w:t>(a)</w:t>
      </w:r>
      <w:r w:rsidR="00824D81">
        <w:rPr>
          <w:rFonts w:asciiTheme="majorHAnsi" w:hAnsiTheme="majorHAnsi"/>
          <w:sz w:val="16"/>
          <w:szCs w:val="16"/>
        </w:rPr>
        <w:t xml:space="preserve"> </w:t>
      </w:r>
      <w:proofErr w:type="gramStart"/>
      <w:r w:rsidRPr="002036A1">
        <w:rPr>
          <w:rFonts w:asciiTheme="majorHAnsi" w:hAnsiTheme="majorHAnsi"/>
          <w:sz w:val="16"/>
          <w:szCs w:val="16"/>
        </w:rPr>
        <w:t>tangible</w:t>
      </w:r>
      <w:proofErr w:type="gramEnd"/>
      <w:r w:rsidRPr="002036A1">
        <w:rPr>
          <w:rFonts w:asciiTheme="majorHAnsi" w:hAnsiTheme="majorHAnsi"/>
          <w:sz w:val="16"/>
          <w:szCs w:val="16"/>
        </w:rPr>
        <w:t xml:space="preserve"> and measurable outputs, objectives and targets of the work assignment, as well as specific activities to achieve these; </w:t>
      </w:r>
    </w:p>
    <w:p w14:paraId="0DBD4EBD" w14:textId="77777777" w:rsidR="002036A1" w:rsidRDefault="002036A1" w:rsidP="002036A1">
      <w:pPr>
        <w:rPr>
          <w:rFonts w:asciiTheme="majorHAnsi" w:hAnsiTheme="majorHAnsi"/>
          <w:sz w:val="16"/>
          <w:szCs w:val="16"/>
        </w:rPr>
      </w:pPr>
      <w:r w:rsidRPr="002036A1">
        <w:rPr>
          <w:rFonts w:asciiTheme="majorHAnsi" w:hAnsiTheme="majorHAnsi"/>
          <w:sz w:val="16"/>
          <w:szCs w:val="16"/>
        </w:rPr>
        <w:t>(b</w:t>
      </w:r>
      <w:r w:rsidR="00824D81" w:rsidRPr="002036A1">
        <w:rPr>
          <w:rFonts w:asciiTheme="majorHAnsi" w:hAnsiTheme="majorHAnsi"/>
          <w:sz w:val="16"/>
          <w:szCs w:val="16"/>
        </w:rPr>
        <w:t xml:space="preserve">) </w:t>
      </w:r>
      <w:proofErr w:type="gramStart"/>
      <w:r w:rsidR="00824D81" w:rsidRPr="002036A1">
        <w:rPr>
          <w:rFonts w:asciiTheme="majorHAnsi" w:hAnsiTheme="majorHAnsi"/>
          <w:sz w:val="16"/>
          <w:szCs w:val="16"/>
        </w:rPr>
        <w:t>specific</w:t>
      </w:r>
      <w:proofErr w:type="gramEnd"/>
      <w:r w:rsidRPr="002036A1">
        <w:rPr>
          <w:rFonts w:asciiTheme="majorHAnsi" w:hAnsiTheme="majorHAnsi"/>
          <w:sz w:val="16"/>
          <w:szCs w:val="16"/>
        </w:rPr>
        <w:t xml:space="preserve"> delivery dates and details as to how the work must be delivered (e.g. electronic submission, hard copy), subdivided into “milestones” where appropriate;</w:t>
      </w:r>
    </w:p>
    <w:p w14:paraId="0DBD4EBE" w14:textId="77777777" w:rsidR="00C302B1" w:rsidRPr="002036A1" w:rsidRDefault="002036A1">
      <w:pPr>
        <w:rPr>
          <w:rFonts w:asciiTheme="majorHAnsi" w:hAnsiTheme="majorHAnsi"/>
          <w:sz w:val="16"/>
          <w:szCs w:val="16"/>
        </w:rPr>
      </w:pPr>
      <w:r w:rsidRPr="002036A1">
        <w:rPr>
          <w:rFonts w:asciiTheme="majorHAnsi" w:hAnsiTheme="majorHAnsi"/>
          <w:sz w:val="16"/>
          <w:szCs w:val="16"/>
        </w:rPr>
        <w:t>(c</w:t>
      </w:r>
      <w:r w:rsidR="00824D81" w:rsidRPr="002036A1">
        <w:rPr>
          <w:rFonts w:asciiTheme="majorHAnsi" w:hAnsiTheme="majorHAnsi"/>
          <w:sz w:val="16"/>
          <w:szCs w:val="16"/>
        </w:rPr>
        <w:t xml:space="preserve">) </w:t>
      </w:r>
      <w:proofErr w:type="gramStart"/>
      <w:r w:rsidR="00824D81" w:rsidRPr="002036A1">
        <w:rPr>
          <w:rFonts w:asciiTheme="majorHAnsi" w:hAnsiTheme="majorHAnsi"/>
          <w:sz w:val="16"/>
          <w:szCs w:val="16"/>
        </w:rPr>
        <w:t>indicators</w:t>
      </w:r>
      <w:proofErr w:type="gramEnd"/>
      <w:r w:rsidRPr="002036A1">
        <w:rPr>
          <w:rFonts w:asciiTheme="majorHAnsi" w:hAnsiTheme="majorHAnsi"/>
          <w:sz w:val="16"/>
          <w:szCs w:val="16"/>
        </w:rPr>
        <w:t xml:space="preserve"> for evaluation of outputs (including timeliness, achievement</w:t>
      </w:r>
      <w:r>
        <w:rPr>
          <w:rFonts w:asciiTheme="majorHAnsi" w:hAnsiTheme="majorHAnsi"/>
          <w:sz w:val="16"/>
          <w:szCs w:val="16"/>
        </w:rPr>
        <w:t xml:space="preserve"> of goals, and quality of work)</w:t>
      </w:r>
    </w:p>
    <w:p w14:paraId="0DBD4EBF" w14:textId="77777777" w:rsidR="00C302B1" w:rsidRPr="00574342" w:rsidRDefault="00C302B1">
      <w:pPr>
        <w:rPr>
          <w:rFonts w:asciiTheme="majorHAnsi" w:hAnsiTheme="majorHAnsi"/>
        </w:rPr>
      </w:pPr>
    </w:p>
    <w:tbl>
      <w:tblPr>
        <w:tblW w:w="107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17"/>
        <w:gridCol w:w="1571"/>
        <w:gridCol w:w="1584"/>
        <w:gridCol w:w="3348"/>
        <w:gridCol w:w="95"/>
      </w:tblGrid>
      <w:tr w:rsidR="00C709B4" w:rsidRPr="00574342" w14:paraId="0DBD4EC2" w14:textId="77777777" w:rsidTr="00C302B1">
        <w:trPr>
          <w:trHeight w:val="400"/>
        </w:trPr>
        <w:tc>
          <w:tcPr>
            <w:tcW w:w="5688" w:type="dxa"/>
            <w:gridSpan w:val="2"/>
            <w:tcBorders>
              <w:top w:val="single" w:sz="4" w:space="0" w:color="auto"/>
              <w:left w:val="single" w:sz="4" w:space="0" w:color="auto"/>
              <w:bottom w:val="nil"/>
              <w:right w:val="single" w:sz="4" w:space="0" w:color="auto"/>
            </w:tcBorders>
            <w:shd w:val="clear" w:color="auto" w:fill="auto"/>
            <w:noWrap/>
            <w:hideMark/>
          </w:tcPr>
          <w:p w14:paraId="0DBD4EC0" w14:textId="77777777" w:rsidR="00C709B4" w:rsidRPr="00574342" w:rsidRDefault="00C709B4" w:rsidP="00C709B4">
            <w:pPr>
              <w:spacing w:before="60"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lastRenderedPageBreak/>
              <w:t>Minimum Qualifications required:</w:t>
            </w:r>
          </w:p>
        </w:tc>
        <w:tc>
          <w:tcPr>
            <w:tcW w:w="5027" w:type="dxa"/>
            <w:gridSpan w:val="3"/>
            <w:tcBorders>
              <w:top w:val="single" w:sz="4" w:space="0" w:color="auto"/>
              <w:left w:val="single" w:sz="4" w:space="0" w:color="auto"/>
              <w:bottom w:val="nil"/>
              <w:right w:val="single" w:sz="4" w:space="0" w:color="auto"/>
            </w:tcBorders>
            <w:shd w:val="clear" w:color="auto" w:fill="auto"/>
            <w:noWrap/>
            <w:hideMark/>
          </w:tcPr>
          <w:p w14:paraId="0DBD4EC1" w14:textId="77777777" w:rsidR="00C709B4" w:rsidRPr="00574342" w:rsidRDefault="00C709B4" w:rsidP="00B5534C">
            <w:pPr>
              <w:spacing w:before="60" w:line="240" w:lineRule="auto"/>
              <w:rPr>
                <w:rFonts w:asciiTheme="majorHAnsi" w:eastAsia="Arial Unicode MS" w:hAnsiTheme="majorHAnsi" w:cs="Gill Sans"/>
                <w:color w:val="FF0000"/>
                <w:lang w:val="en-AU"/>
              </w:rPr>
            </w:pPr>
            <w:r w:rsidRPr="00574342">
              <w:rPr>
                <w:rFonts w:asciiTheme="majorHAnsi" w:eastAsia="Arial Unicode MS" w:hAnsiTheme="majorHAnsi" w:cs="Gill Sans"/>
                <w:color w:val="auto"/>
                <w:lang w:val="en-AU"/>
              </w:rPr>
              <w:t>Knowledge/Expertise/Skills required</w:t>
            </w:r>
          </w:p>
        </w:tc>
      </w:tr>
      <w:tr w:rsidR="00C709B4" w:rsidRPr="00574342" w14:paraId="0DBD4EC5" w14:textId="77777777" w:rsidTr="002036A1">
        <w:trPr>
          <w:trHeight w:val="1935"/>
        </w:trPr>
        <w:tc>
          <w:tcPr>
            <w:tcW w:w="5688" w:type="dxa"/>
            <w:gridSpan w:val="2"/>
            <w:tcBorders>
              <w:top w:val="nil"/>
              <w:left w:val="single" w:sz="4" w:space="0" w:color="auto"/>
              <w:bottom w:val="single" w:sz="4" w:space="0" w:color="auto"/>
              <w:right w:val="single" w:sz="4" w:space="0" w:color="auto"/>
            </w:tcBorders>
            <w:shd w:val="clear" w:color="auto" w:fill="auto"/>
            <w:noWrap/>
          </w:tcPr>
          <w:p w14:paraId="0ACF24D7" w14:textId="02B484A3" w:rsidR="00B3015D" w:rsidRDefault="006271F1" w:rsidP="00B3015D">
            <w:pPr>
              <w:spacing w:before="60" w:line="240" w:lineRule="auto"/>
              <w:rPr>
                <w:rFonts w:asciiTheme="majorHAnsi" w:eastAsia="Arial Unicode MS" w:hAnsiTheme="majorHAnsi" w:cs="Gill Sans"/>
                <w:i/>
                <w:color w:val="auto"/>
                <w:lang w:val="en-AU"/>
              </w:rPr>
            </w:pPr>
            <w:r>
              <w:rPr>
                <w:rFonts w:asciiTheme="majorHAnsi" w:eastAsia="Arial Unicode MS" w:hAnsiTheme="majorHAnsi" w:cs="Gill Sans"/>
                <w:color w:val="auto"/>
                <w:lang w:val="en-AU"/>
              </w:rPr>
              <w:fldChar w:fldCharType="begin">
                <w:ffData>
                  <w:name w:val="Check7"/>
                  <w:enabled/>
                  <w:calcOnExit w:val="0"/>
                  <w:checkBox>
                    <w:sizeAuto/>
                    <w:default w:val="0"/>
                  </w:checkBox>
                </w:ffData>
              </w:fldChar>
            </w:r>
            <w:bookmarkStart w:id="7" w:name="Check7"/>
            <w:r>
              <w:rPr>
                <w:rFonts w:asciiTheme="majorHAnsi" w:eastAsia="Arial Unicode MS" w:hAnsiTheme="majorHAnsi" w:cs="Gill Sans"/>
                <w:color w:val="auto"/>
                <w:lang w:val="en-AU"/>
              </w:rPr>
              <w:instrText xml:space="preserve"> FORMCHECKBOX </w:instrText>
            </w:r>
            <w:r>
              <w:rPr>
                <w:rFonts w:asciiTheme="majorHAnsi" w:eastAsia="Arial Unicode MS" w:hAnsiTheme="majorHAnsi" w:cs="Gill Sans"/>
                <w:color w:val="auto"/>
                <w:lang w:val="en-AU"/>
              </w:rPr>
            </w:r>
            <w:r>
              <w:rPr>
                <w:rFonts w:asciiTheme="majorHAnsi" w:eastAsia="Arial Unicode MS" w:hAnsiTheme="majorHAnsi" w:cs="Gill Sans"/>
                <w:color w:val="auto"/>
                <w:lang w:val="en-AU"/>
              </w:rPr>
              <w:fldChar w:fldCharType="end"/>
            </w:r>
            <w:bookmarkEnd w:id="7"/>
            <w:r w:rsidR="00C709B4" w:rsidRPr="00574342">
              <w:rPr>
                <w:rFonts w:asciiTheme="majorHAnsi" w:eastAsia="Arial Unicode MS" w:hAnsiTheme="majorHAnsi" w:cs="Gill Sans"/>
                <w:color w:val="auto"/>
                <w:lang w:val="en-AU"/>
              </w:rPr>
              <w:t xml:space="preserve"> Bachelors   </w:t>
            </w:r>
            <w:r w:rsidR="00B3015D">
              <w:rPr>
                <w:rFonts w:asciiTheme="majorHAnsi" w:eastAsia="Arial Unicode MS" w:hAnsiTheme="majorHAnsi" w:cs="Gill Sans"/>
                <w:color w:val="auto"/>
                <w:lang w:val="en-AU"/>
              </w:rPr>
              <w:fldChar w:fldCharType="begin">
                <w:ffData>
                  <w:name w:val="Check6"/>
                  <w:enabled/>
                  <w:calcOnExit w:val="0"/>
                  <w:checkBox>
                    <w:sizeAuto/>
                    <w:default w:val="1"/>
                  </w:checkBox>
                </w:ffData>
              </w:fldChar>
            </w:r>
            <w:bookmarkStart w:id="8" w:name="Check6"/>
            <w:r w:rsidR="00B3015D">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B3015D">
              <w:rPr>
                <w:rFonts w:asciiTheme="majorHAnsi" w:eastAsia="Arial Unicode MS" w:hAnsiTheme="majorHAnsi" w:cs="Gill Sans"/>
                <w:color w:val="auto"/>
                <w:lang w:val="en-AU"/>
              </w:rPr>
              <w:fldChar w:fldCharType="end"/>
            </w:r>
            <w:bookmarkEnd w:id="8"/>
            <w:r w:rsidR="00C709B4" w:rsidRPr="00574342">
              <w:rPr>
                <w:rFonts w:asciiTheme="majorHAnsi" w:eastAsia="Arial Unicode MS" w:hAnsiTheme="majorHAnsi" w:cs="Gill Sans"/>
                <w:color w:val="auto"/>
                <w:lang w:val="en-AU"/>
              </w:rPr>
              <w:t xml:space="preserve"> Masters   </w:t>
            </w:r>
            <w:r w:rsidR="00C709B4" w:rsidRPr="00574342">
              <w:rPr>
                <w:rFonts w:asciiTheme="majorHAnsi" w:eastAsia="Arial Unicode MS" w:hAnsiTheme="majorHAnsi" w:cs="Gill Sans"/>
                <w:color w:val="auto"/>
                <w:lang w:val="en-AU"/>
              </w:rPr>
              <w:fldChar w:fldCharType="begin">
                <w:ffData>
                  <w:name w:val="Check8"/>
                  <w:enabled/>
                  <w:calcOnExit w:val="0"/>
                  <w:checkBox>
                    <w:sizeAuto/>
                    <w:default w:val="0"/>
                  </w:checkBox>
                </w:ffData>
              </w:fldChar>
            </w:r>
            <w:r w:rsidR="00C709B4" w:rsidRPr="00574342">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C709B4" w:rsidRPr="00574342">
              <w:rPr>
                <w:rFonts w:asciiTheme="majorHAnsi" w:eastAsia="Arial Unicode MS" w:hAnsiTheme="majorHAnsi" w:cs="Gill Sans"/>
                <w:color w:val="auto"/>
                <w:lang w:val="en-AU"/>
              </w:rPr>
              <w:fldChar w:fldCharType="end"/>
            </w:r>
            <w:r w:rsidR="00C709B4" w:rsidRPr="00574342">
              <w:rPr>
                <w:rFonts w:asciiTheme="majorHAnsi" w:eastAsia="Arial Unicode MS" w:hAnsiTheme="majorHAnsi" w:cs="Gill Sans"/>
                <w:color w:val="auto"/>
                <w:lang w:val="en-AU"/>
              </w:rPr>
              <w:t xml:space="preserve"> PhD   </w:t>
            </w:r>
            <w:r w:rsidR="00C709B4" w:rsidRPr="00574342">
              <w:rPr>
                <w:rFonts w:asciiTheme="majorHAnsi" w:eastAsia="Arial Unicode MS" w:hAnsiTheme="majorHAnsi" w:cs="Gill Sans"/>
                <w:color w:val="auto"/>
                <w:lang w:val="en-AU"/>
              </w:rPr>
              <w:fldChar w:fldCharType="begin">
                <w:ffData>
                  <w:name w:val="Check9"/>
                  <w:enabled/>
                  <w:calcOnExit w:val="0"/>
                  <w:checkBox>
                    <w:sizeAuto/>
                    <w:default w:val="0"/>
                  </w:checkBox>
                </w:ffData>
              </w:fldChar>
            </w:r>
            <w:r w:rsidR="00C709B4" w:rsidRPr="00574342">
              <w:rPr>
                <w:rFonts w:asciiTheme="majorHAnsi" w:eastAsia="Arial Unicode MS" w:hAnsiTheme="majorHAnsi" w:cs="Gill Sans"/>
                <w:color w:val="auto"/>
                <w:lang w:val="en-AU"/>
              </w:rPr>
              <w:instrText xml:space="preserve"> FORMCHECKBOX </w:instrText>
            </w:r>
            <w:r w:rsidR="008E0E34">
              <w:rPr>
                <w:rFonts w:asciiTheme="majorHAnsi" w:eastAsia="Arial Unicode MS" w:hAnsiTheme="majorHAnsi" w:cs="Gill Sans"/>
                <w:color w:val="auto"/>
                <w:lang w:val="en-AU"/>
              </w:rPr>
            </w:r>
            <w:r w:rsidR="008E0E34">
              <w:rPr>
                <w:rFonts w:asciiTheme="majorHAnsi" w:eastAsia="Arial Unicode MS" w:hAnsiTheme="majorHAnsi" w:cs="Gill Sans"/>
                <w:color w:val="auto"/>
                <w:lang w:val="en-AU"/>
              </w:rPr>
              <w:fldChar w:fldCharType="separate"/>
            </w:r>
            <w:r w:rsidR="00C709B4" w:rsidRPr="00574342">
              <w:rPr>
                <w:rFonts w:asciiTheme="majorHAnsi" w:eastAsia="Arial Unicode MS" w:hAnsiTheme="majorHAnsi" w:cs="Gill Sans"/>
                <w:color w:val="auto"/>
                <w:lang w:val="en-AU"/>
              </w:rPr>
              <w:fldChar w:fldCharType="end"/>
            </w:r>
            <w:r w:rsidR="00C709B4" w:rsidRPr="00574342">
              <w:rPr>
                <w:rFonts w:asciiTheme="majorHAnsi" w:eastAsia="Arial Unicode MS" w:hAnsiTheme="majorHAnsi" w:cs="Gill Sans"/>
                <w:color w:val="auto"/>
                <w:lang w:val="en-AU"/>
              </w:rPr>
              <w:t xml:space="preserve"> Other  - </w:t>
            </w:r>
            <w:r w:rsidR="00C709B4" w:rsidRPr="00574342">
              <w:rPr>
                <w:rFonts w:asciiTheme="majorHAnsi" w:eastAsia="Arial Unicode MS" w:hAnsiTheme="majorHAnsi" w:cs="Gill Sans"/>
                <w:i/>
                <w:color w:val="auto"/>
                <w:lang w:val="en-AU"/>
              </w:rPr>
              <w:t>please describe</w:t>
            </w:r>
          </w:p>
          <w:p w14:paraId="6E8A6666" w14:textId="77777777" w:rsidR="00B3015D" w:rsidRDefault="00B3015D" w:rsidP="00B3015D">
            <w:pPr>
              <w:spacing w:before="60" w:line="240" w:lineRule="auto"/>
              <w:rPr>
                <w:rFonts w:asciiTheme="majorHAnsi" w:eastAsia="Arial Unicode MS" w:hAnsiTheme="majorHAnsi" w:cs="Gill Sans"/>
                <w:i/>
                <w:color w:val="auto"/>
                <w:lang w:val="en-AU"/>
              </w:rPr>
            </w:pPr>
          </w:p>
          <w:p w14:paraId="4E8740C7" w14:textId="77777777" w:rsidR="00B3015D" w:rsidRPr="00754FD8" w:rsidRDefault="00B3015D" w:rsidP="00B3015D">
            <w:pPr>
              <w:numPr>
                <w:ilvl w:val="0"/>
                <w:numId w:val="34"/>
              </w:numPr>
              <w:spacing w:line="240" w:lineRule="auto"/>
              <w:rPr>
                <w:rFonts w:eastAsia="Times New Roman" w:cs="Arial"/>
              </w:rPr>
            </w:pPr>
            <w:r w:rsidRPr="00754FD8">
              <w:rPr>
                <w:rFonts w:eastAsia="Times New Roman" w:cs="Arial"/>
              </w:rPr>
              <w:t>Indonesian National;</w:t>
            </w:r>
          </w:p>
          <w:p w14:paraId="35CCF786" w14:textId="4001F3A6" w:rsidR="00B3015D" w:rsidRPr="00754FD8" w:rsidRDefault="00B3015D" w:rsidP="00B3015D">
            <w:pPr>
              <w:numPr>
                <w:ilvl w:val="0"/>
                <w:numId w:val="34"/>
              </w:numPr>
              <w:spacing w:line="240" w:lineRule="auto"/>
              <w:rPr>
                <w:rFonts w:eastAsia="Times New Roman" w:cs="Arial"/>
              </w:rPr>
            </w:pPr>
            <w:r w:rsidRPr="00754FD8">
              <w:rPr>
                <w:rFonts w:eastAsia="Times New Roman" w:cs="Arial"/>
              </w:rPr>
              <w:t>At least a Master’s degree in social development, public policy, or related field relevant to sustain</w:t>
            </w:r>
            <w:r>
              <w:rPr>
                <w:rFonts w:eastAsia="Times New Roman" w:cs="Arial"/>
              </w:rPr>
              <w:t>able development and evaluation; or a Bachelor’s degree with additional relevant professional experience.</w:t>
            </w:r>
          </w:p>
          <w:p w14:paraId="0DBD4EC3" w14:textId="1340925E" w:rsidR="00C709B4" w:rsidRPr="00B3015D" w:rsidRDefault="00B3015D" w:rsidP="00B3015D">
            <w:pPr>
              <w:pStyle w:val="ListParagraph"/>
              <w:numPr>
                <w:ilvl w:val="0"/>
                <w:numId w:val="34"/>
              </w:numPr>
              <w:spacing w:before="60" w:line="240" w:lineRule="auto"/>
              <w:rPr>
                <w:rFonts w:asciiTheme="majorHAnsi" w:eastAsia="Arial Unicode MS" w:hAnsiTheme="majorHAnsi" w:cs="Gill Sans"/>
                <w:color w:val="auto"/>
                <w:lang w:val="en-AU"/>
              </w:rPr>
            </w:pPr>
            <w:r w:rsidRPr="00B3015D">
              <w:rPr>
                <w:rFonts w:eastAsia="Times New Roman" w:cs="Arial"/>
              </w:rPr>
              <w:t>Excellent knowledge of English (oral and in writing) as well as fluency in written and spoken Bahasa Indonesia.</w:t>
            </w:r>
          </w:p>
        </w:tc>
        <w:tc>
          <w:tcPr>
            <w:tcW w:w="5027" w:type="dxa"/>
            <w:gridSpan w:val="3"/>
            <w:tcBorders>
              <w:top w:val="nil"/>
              <w:left w:val="single" w:sz="4" w:space="0" w:color="auto"/>
              <w:bottom w:val="single" w:sz="4" w:space="0" w:color="auto"/>
              <w:right w:val="single" w:sz="4" w:space="0" w:color="auto"/>
            </w:tcBorders>
            <w:shd w:val="clear" w:color="auto" w:fill="auto"/>
            <w:noWrap/>
          </w:tcPr>
          <w:p w14:paraId="4C8C4763" w14:textId="77777777" w:rsidR="001D45E7" w:rsidRDefault="001D45E7" w:rsidP="001D45E7">
            <w:pPr>
              <w:spacing w:after="120" w:line="20" w:lineRule="atLeast"/>
              <w:rPr>
                <w:rFonts w:asciiTheme="majorHAnsi" w:hAnsiTheme="majorHAnsi"/>
              </w:rPr>
            </w:pPr>
          </w:p>
          <w:p w14:paraId="3DCEB782" w14:textId="77777777" w:rsidR="001D45E7" w:rsidRPr="00754FD8" w:rsidRDefault="001D45E7" w:rsidP="001D45E7">
            <w:pPr>
              <w:numPr>
                <w:ilvl w:val="0"/>
                <w:numId w:val="34"/>
              </w:numPr>
              <w:spacing w:line="240" w:lineRule="auto"/>
              <w:rPr>
                <w:rFonts w:eastAsia="Times New Roman" w:cs="Arial"/>
              </w:rPr>
            </w:pPr>
            <w:r w:rsidRPr="00754FD8">
              <w:rPr>
                <w:rFonts w:eastAsia="Times New Roman" w:cs="Arial"/>
              </w:rPr>
              <w:t>Minimum of 8 years of experience in evaluation-related work;</w:t>
            </w:r>
          </w:p>
          <w:p w14:paraId="3E62CCC5" w14:textId="77777777" w:rsidR="001D45E7" w:rsidRPr="00754FD8" w:rsidRDefault="001D45E7" w:rsidP="001D45E7">
            <w:pPr>
              <w:numPr>
                <w:ilvl w:val="0"/>
                <w:numId w:val="34"/>
              </w:numPr>
              <w:spacing w:line="240" w:lineRule="auto"/>
              <w:rPr>
                <w:rFonts w:eastAsia="Times New Roman" w:cs="Arial"/>
              </w:rPr>
            </w:pPr>
            <w:r w:rsidRPr="00754FD8">
              <w:rPr>
                <w:rFonts w:eastAsia="Times New Roman" w:cs="Arial"/>
              </w:rPr>
              <w:t xml:space="preserve">Experience in </w:t>
            </w:r>
            <w:r>
              <w:rPr>
                <w:rFonts w:eastAsia="Times New Roman" w:cs="Arial"/>
              </w:rPr>
              <w:t xml:space="preserve">assessing and developing </w:t>
            </w:r>
            <w:r w:rsidRPr="00754FD8">
              <w:rPr>
                <w:rFonts w:eastAsia="Times New Roman" w:cs="Arial"/>
              </w:rPr>
              <w:t>national planning and evaluation systems;</w:t>
            </w:r>
          </w:p>
          <w:p w14:paraId="6F567389" w14:textId="77777777" w:rsidR="001D45E7" w:rsidRPr="00754FD8" w:rsidRDefault="001D45E7" w:rsidP="001D45E7">
            <w:pPr>
              <w:numPr>
                <w:ilvl w:val="0"/>
                <w:numId w:val="34"/>
              </w:numPr>
              <w:spacing w:line="240" w:lineRule="auto"/>
              <w:rPr>
                <w:rFonts w:eastAsia="Times New Roman" w:cs="Arial"/>
              </w:rPr>
            </w:pPr>
            <w:r w:rsidRPr="00754FD8">
              <w:rPr>
                <w:rFonts w:eastAsia="Times New Roman" w:cs="Arial"/>
              </w:rPr>
              <w:t>Evaluation skills, including conducting interviews, focus group discussions, desk research, qualitative and quantitative analysis;</w:t>
            </w:r>
          </w:p>
          <w:p w14:paraId="0DBD4EC4" w14:textId="629B4408" w:rsidR="00C709B4" w:rsidRPr="002036A1" w:rsidRDefault="001D45E7" w:rsidP="001D45E7">
            <w:pPr>
              <w:numPr>
                <w:ilvl w:val="0"/>
                <w:numId w:val="34"/>
              </w:numPr>
              <w:spacing w:line="240" w:lineRule="auto"/>
              <w:rPr>
                <w:rFonts w:asciiTheme="majorHAnsi" w:hAnsiTheme="majorHAnsi"/>
              </w:rPr>
            </w:pPr>
            <w:r w:rsidRPr="00754FD8">
              <w:rPr>
                <w:rFonts w:eastAsia="Times New Roman" w:cs="Arial"/>
              </w:rPr>
              <w:t>Proven communication, facil</w:t>
            </w:r>
            <w:r>
              <w:rPr>
                <w:rFonts w:eastAsia="Times New Roman" w:cs="Arial"/>
              </w:rPr>
              <w:t>itation, and writing skills.</w:t>
            </w:r>
          </w:p>
        </w:tc>
      </w:tr>
      <w:tr w:rsidR="00C709B4" w:rsidRPr="00574342" w14:paraId="0DBD4EC9" w14:textId="77777777" w:rsidTr="00F11BF5">
        <w:tc>
          <w:tcPr>
            <w:tcW w:w="4117" w:type="dxa"/>
            <w:tcBorders>
              <w:top w:val="single" w:sz="4" w:space="0" w:color="auto"/>
              <w:bottom w:val="nil"/>
            </w:tcBorders>
            <w:shd w:val="clear" w:color="auto" w:fill="auto"/>
            <w:noWrap/>
            <w:hideMark/>
          </w:tcPr>
          <w:p w14:paraId="0DBD4EC6" w14:textId="77777777" w:rsidR="00C709B4" w:rsidRPr="00574342" w:rsidRDefault="00C709B4" w:rsidP="00A44052">
            <w:pPr>
              <w:spacing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Additional information or attachments:</w:t>
            </w:r>
          </w:p>
        </w:tc>
        <w:tc>
          <w:tcPr>
            <w:tcW w:w="3155" w:type="dxa"/>
            <w:gridSpan w:val="2"/>
            <w:tcBorders>
              <w:top w:val="single" w:sz="4" w:space="0" w:color="auto"/>
              <w:bottom w:val="nil"/>
            </w:tcBorders>
            <w:shd w:val="clear" w:color="auto" w:fill="auto"/>
            <w:noWrap/>
            <w:hideMark/>
          </w:tcPr>
          <w:p w14:paraId="0DBD4EC7" w14:textId="77777777" w:rsidR="00C709B4" w:rsidRPr="00574342" w:rsidRDefault="00C709B4" w:rsidP="00C709B4">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Prepared By:</w:t>
            </w:r>
          </w:p>
        </w:tc>
        <w:tc>
          <w:tcPr>
            <w:tcW w:w="3443" w:type="dxa"/>
            <w:gridSpan w:val="2"/>
            <w:tcBorders>
              <w:top w:val="single" w:sz="4" w:space="0" w:color="auto"/>
              <w:bottom w:val="nil"/>
            </w:tcBorders>
            <w:shd w:val="clear" w:color="auto" w:fill="auto"/>
          </w:tcPr>
          <w:p w14:paraId="0DBD4EC8" w14:textId="77777777" w:rsidR="00C709B4" w:rsidRPr="00574342" w:rsidRDefault="00C709B4" w:rsidP="00C709B4">
            <w:pPr>
              <w:spacing w:before="100" w:beforeAutospacing="1" w:after="100" w:afterAutospacing="1" w:line="240" w:lineRule="auto"/>
              <w:rPr>
                <w:rFonts w:asciiTheme="majorHAnsi" w:eastAsia="Arial Unicode MS" w:hAnsiTheme="majorHAnsi" w:cs="Gill Sans"/>
                <w:color w:val="auto"/>
                <w:lang w:val="en-AU"/>
              </w:rPr>
            </w:pPr>
            <w:r w:rsidRPr="00574342">
              <w:rPr>
                <w:rFonts w:asciiTheme="majorHAnsi" w:eastAsia="Arial Unicode MS" w:hAnsiTheme="majorHAnsi" w:cs="Gill Sans"/>
                <w:color w:val="auto"/>
                <w:lang w:val="en-AU"/>
              </w:rPr>
              <w:t>Request Authorised By:</w:t>
            </w:r>
          </w:p>
        </w:tc>
      </w:tr>
      <w:tr w:rsidR="00B5534C" w:rsidRPr="00574342" w14:paraId="0DBD4ECE" w14:textId="77777777" w:rsidTr="00C302B1">
        <w:trPr>
          <w:trHeight w:val="720"/>
        </w:trPr>
        <w:tc>
          <w:tcPr>
            <w:tcW w:w="4117" w:type="dxa"/>
            <w:tcBorders>
              <w:top w:val="nil"/>
              <w:bottom w:val="single" w:sz="4" w:space="0" w:color="auto"/>
            </w:tcBorders>
            <w:shd w:val="clear" w:color="auto" w:fill="auto"/>
            <w:noWrap/>
          </w:tcPr>
          <w:p w14:paraId="0DBD4ECA" w14:textId="77777777" w:rsidR="00B5534C" w:rsidRPr="00574342" w:rsidRDefault="00B5534C" w:rsidP="000C6BDB">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Please provide any additional info.</w:t>
            </w:r>
          </w:p>
          <w:p w14:paraId="0DBD4ECB" w14:textId="77777777" w:rsidR="00B5534C" w:rsidRPr="00574342" w:rsidRDefault="00B5534C" w:rsidP="000C6BDB">
            <w:pPr>
              <w:spacing w:before="60" w:after="60" w:line="240" w:lineRule="auto"/>
              <w:rPr>
                <w:rFonts w:asciiTheme="majorHAnsi" w:eastAsia="Arial Unicode MS" w:hAnsiTheme="majorHAnsi" w:cs="Gill Sans"/>
                <w:i/>
                <w:color w:val="auto"/>
                <w:lang w:val="en-AU"/>
              </w:rPr>
            </w:pPr>
          </w:p>
        </w:tc>
        <w:tc>
          <w:tcPr>
            <w:tcW w:w="3155" w:type="dxa"/>
            <w:gridSpan w:val="2"/>
            <w:tcBorders>
              <w:top w:val="nil"/>
              <w:bottom w:val="single" w:sz="4" w:space="0" w:color="auto"/>
            </w:tcBorders>
            <w:shd w:val="clear" w:color="auto" w:fill="auto"/>
            <w:noWrap/>
          </w:tcPr>
          <w:p w14:paraId="0DBD4ECC" w14:textId="50D56053" w:rsidR="00B5534C" w:rsidRPr="00F11BF5" w:rsidRDefault="00B5534C" w:rsidP="000C6BDB">
            <w:pPr>
              <w:spacing w:before="60" w:after="60" w:line="240" w:lineRule="auto"/>
              <w:rPr>
                <w:rFonts w:asciiTheme="majorHAnsi" w:eastAsia="Arial Unicode MS" w:hAnsiTheme="majorHAnsi" w:cs="Gill Sans"/>
                <w:i/>
                <w:color w:val="auto"/>
              </w:rPr>
            </w:pPr>
          </w:p>
        </w:tc>
        <w:tc>
          <w:tcPr>
            <w:tcW w:w="3443" w:type="dxa"/>
            <w:gridSpan w:val="2"/>
            <w:tcBorders>
              <w:top w:val="nil"/>
              <w:bottom w:val="single" w:sz="4" w:space="0" w:color="auto"/>
            </w:tcBorders>
            <w:shd w:val="clear" w:color="auto" w:fill="auto"/>
          </w:tcPr>
          <w:p w14:paraId="0DBD4ECD" w14:textId="24DD1DEE" w:rsidR="00B5534C" w:rsidRPr="00574342" w:rsidRDefault="00B5534C" w:rsidP="000C6BDB">
            <w:pPr>
              <w:spacing w:before="60" w:after="60" w:line="240" w:lineRule="auto"/>
              <w:rPr>
                <w:rFonts w:asciiTheme="majorHAnsi" w:eastAsia="Arial Unicode MS" w:hAnsiTheme="majorHAnsi" w:cs="Gill Sans"/>
                <w:i/>
                <w:color w:val="auto"/>
                <w:lang w:val="en-AU"/>
              </w:rPr>
            </w:pPr>
          </w:p>
        </w:tc>
      </w:tr>
      <w:tr w:rsidR="00C709B4" w:rsidRPr="00574342" w14:paraId="0DBD4EDA" w14:textId="77777777" w:rsidTr="00C302B1">
        <w:trPr>
          <w:trHeight w:val="3293"/>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14:paraId="0DBD4ECF" w14:textId="77777777" w:rsidR="002036A1" w:rsidRDefault="002036A1" w:rsidP="00C709B4">
            <w:pPr>
              <w:spacing w:before="60" w:after="60" w:line="240" w:lineRule="auto"/>
              <w:rPr>
                <w:rFonts w:asciiTheme="majorHAnsi" w:eastAsia="Arial Unicode MS" w:hAnsiTheme="majorHAnsi" w:cs="Gill Sans"/>
                <w:i/>
                <w:color w:val="auto"/>
                <w:lang w:val="en-AU"/>
              </w:rPr>
            </w:pPr>
            <w:r>
              <w:rPr>
                <w:rFonts w:asciiTheme="majorHAnsi" w:eastAsia="Arial Unicode MS" w:hAnsiTheme="majorHAnsi" w:cs="Gill Sans"/>
                <w:i/>
                <w:color w:val="auto"/>
                <w:lang w:val="en-AU"/>
              </w:rPr>
              <w:t>Endorsed by HR:</w:t>
            </w:r>
            <w:r w:rsidR="0065276F">
              <w:rPr>
                <w:rFonts w:asciiTheme="majorHAnsi" w:eastAsia="Arial Unicode MS" w:hAnsiTheme="majorHAnsi" w:cs="Gill Sans"/>
                <w:i/>
                <w:color w:val="auto"/>
                <w:lang w:val="en-AU"/>
              </w:rPr>
              <w:t xml:space="preserve"> Name: </w:t>
            </w:r>
          </w:p>
          <w:p w14:paraId="0DBD4ED0" w14:textId="77777777" w:rsidR="002036A1" w:rsidRDefault="002036A1" w:rsidP="00C709B4">
            <w:pPr>
              <w:spacing w:before="60" w:after="60" w:line="240" w:lineRule="auto"/>
              <w:rPr>
                <w:rFonts w:asciiTheme="majorHAnsi" w:eastAsia="Arial Unicode MS" w:hAnsiTheme="majorHAnsi" w:cs="Gill Sans"/>
                <w:i/>
                <w:color w:val="auto"/>
                <w:lang w:val="en-AU"/>
              </w:rPr>
            </w:pPr>
          </w:p>
          <w:p w14:paraId="0DBD4ED1" w14:textId="77777777" w:rsidR="00C709B4" w:rsidRPr="00574342" w:rsidRDefault="00C709B4" w:rsidP="00C709B4">
            <w:pPr>
              <w:spacing w:before="60" w:after="6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HR Remarks:</w:t>
            </w:r>
          </w:p>
          <w:p w14:paraId="0DBD4ED2" w14:textId="77777777" w:rsidR="00C709B4" w:rsidRPr="00574342" w:rsidRDefault="00C709B4" w:rsidP="00C709B4">
            <w:pPr>
              <w:spacing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D4ED3" w14:textId="77777777" w:rsidR="00C709B4" w:rsidRPr="00574342" w:rsidRDefault="00C709B4" w:rsidP="00B5534C">
            <w:pPr>
              <w:spacing w:before="120"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 Approval of </w:t>
            </w:r>
            <w:r w:rsidR="002036A1">
              <w:rPr>
                <w:rFonts w:asciiTheme="majorHAnsi" w:eastAsia="Arial Unicode MS" w:hAnsiTheme="majorHAnsi" w:cs="Gill Sans"/>
                <w:i/>
                <w:color w:val="auto"/>
                <w:lang w:val="en-AU"/>
              </w:rPr>
              <w:t>Deputy Representative</w:t>
            </w:r>
            <w:r w:rsidR="0065276F">
              <w:rPr>
                <w:rFonts w:asciiTheme="majorHAnsi" w:eastAsia="Arial Unicode MS" w:hAnsiTheme="majorHAnsi" w:cs="Gill Sans"/>
                <w:i/>
                <w:color w:val="auto"/>
                <w:lang w:val="en-AU"/>
              </w:rPr>
              <w:t>(for all programme clusters)</w:t>
            </w:r>
            <w:r w:rsidR="002036A1">
              <w:rPr>
                <w:rFonts w:asciiTheme="majorHAnsi" w:eastAsia="Arial Unicode MS" w:hAnsiTheme="majorHAnsi" w:cs="Gill Sans"/>
                <w:i/>
                <w:color w:val="auto"/>
                <w:lang w:val="en-AU"/>
              </w:rPr>
              <w:t>/Chief of Operations</w:t>
            </w:r>
            <w:r w:rsidR="0065276F">
              <w:rPr>
                <w:rFonts w:asciiTheme="majorHAnsi" w:eastAsia="Arial Unicode MS" w:hAnsiTheme="majorHAnsi" w:cs="Gill Sans"/>
                <w:i/>
                <w:color w:val="auto"/>
                <w:lang w:val="en-AU"/>
              </w:rPr>
              <w:t xml:space="preserve"> (for Operations and PFP)</w:t>
            </w:r>
            <w:r w:rsidRPr="00574342">
              <w:rPr>
                <w:rFonts w:asciiTheme="majorHAnsi" w:eastAsia="Arial Unicode MS" w:hAnsiTheme="majorHAnsi" w:cs="Gill Sans"/>
                <w:i/>
                <w:color w:val="auto"/>
                <w:lang w:val="en-AU"/>
              </w:rPr>
              <w:t xml:space="preserve">                                                                                           </w:t>
            </w:r>
            <w:r w:rsidR="002036A1">
              <w:rPr>
                <w:rFonts w:asciiTheme="majorHAnsi" w:eastAsia="Arial Unicode MS" w:hAnsiTheme="majorHAnsi" w:cs="Gill Sans"/>
                <w:i/>
                <w:color w:val="auto"/>
                <w:lang w:val="en-AU"/>
              </w:rPr>
              <w:t xml:space="preserve"> </w:t>
            </w:r>
            <w:r w:rsidRPr="00574342">
              <w:rPr>
                <w:rFonts w:asciiTheme="majorHAnsi" w:eastAsia="Arial Unicode MS" w:hAnsiTheme="majorHAnsi" w:cs="Gill Sans"/>
                <w:i/>
                <w:color w:val="auto"/>
                <w:lang w:val="en-AU"/>
              </w:rPr>
              <w:t xml:space="preserve"> </w:t>
            </w:r>
            <w:r w:rsidR="002036A1">
              <w:rPr>
                <w:rFonts w:asciiTheme="majorHAnsi" w:eastAsia="Arial Unicode MS" w:hAnsiTheme="majorHAnsi" w:cs="Gill Sans"/>
                <w:i/>
                <w:color w:val="auto"/>
                <w:lang w:val="en-AU"/>
              </w:rPr>
              <w:t xml:space="preserve"> </w:t>
            </w:r>
          </w:p>
          <w:p w14:paraId="0DBD4ED4" w14:textId="77777777" w:rsidR="00C709B4" w:rsidRPr="00574342" w:rsidRDefault="00C709B4" w:rsidP="00C709B4">
            <w:pPr>
              <w:spacing w:line="240" w:lineRule="auto"/>
              <w:rPr>
                <w:rFonts w:asciiTheme="majorHAnsi" w:eastAsia="Arial Unicode MS" w:hAnsiTheme="majorHAnsi" w:cs="Gill Sans"/>
                <w:i/>
                <w:color w:val="auto"/>
                <w:lang w:val="en-AU"/>
              </w:rPr>
            </w:pPr>
          </w:p>
          <w:p w14:paraId="0DBD4ED5" w14:textId="77777777" w:rsidR="00C709B4" w:rsidRPr="00574342" w:rsidRDefault="00C709B4" w:rsidP="00C709B4">
            <w:pPr>
              <w:spacing w:line="240" w:lineRule="auto"/>
              <w:rPr>
                <w:rFonts w:asciiTheme="majorHAnsi" w:eastAsia="Arial Unicode MS" w:hAnsiTheme="majorHAnsi" w:cs="Gill Sans"/>
                <w:i/>
                <w:color w:val="auto"/>
                <w:lang w:val="en-AU"/>
              </w:rPr>
            </w:pPr>
          </w:p>
          <w:p w14:paraId="0DBD4ED6" w14:textId="77777777" w:rsidR="00C709B4" w:rsidRPr="00574342" w:rsidRDefault="00C709B4" w:rsidP="00C709B4">
            <w:pPr>
              <w:spacing w:line="240" w:lineRule="auto"/>
              <w:rPr>
                <w:rFonts w:asciiTheme="majorHAnsi" w:eastAsia="Arial Unicode MS" w:hAnsiTheme="majorHAnsi" w:cs="Gill Sans"/>
                <w:i/>
                <w:color w:val="auto"/>
                <w:lang w:val="en-AU"/>
              </w:rPr>
            </w:pPr>
            <w:r w:rsidRPr="00574342">
              <w:rPr>
                <w:rFonts w:asciiTheme="majorHAnsi" w:eastAsia="Arial Unicode MS" w:hAnsiTheme="majorHAnsi" w:cs="Gill Sans"/>
                <w:i/>
                <w:color w:val="auto"/>
                <w:lang w:val="en-AU"/>
              </w:rPr>
              <w:t xml:space="preserve">______________________________________                                                                                      </w:t>
            </w:r>
            <w:r w:rsidR="002036A1">
              <w:rPr>
                <w:rFonts w:asciiTheme="majorHAnsi" w:eastAsia="Arial Unicode MS" w:hAnsiTheme="majorHAnsi" w:cs="Gill Sans"/>
                <w:i/>
                <w:color w:val="auto"/>
                <w:lang w:val="en-AU"/>
              </w:rPr>
              <w:t xml:space="preserve"> </w:t>
            </w:r>
          </w:p>
          <w:p w14:paraId="0DBD4ED7" w14:textId="77777777" w:rsidR="00C709B4" w:rsidRPr="00574342" w:rsidRDefault="00C709B4" w:rsidP="00C709B4">
            <w:pPr>
              <w:spacing w:line="240" w:lineRule="auto"/>
              <w:rPr>
                <w:rFonts w:asciiTheme="majorHAnsi" w:eastAsia="Arial Unicode MS" w:hAnsiTheme="majorHAnsi" w:cs="Gill Sans"/>
                <w:i/>
                <w:color w:val="auto"/>
              </w:rPr>
            </w:pPr>
            <w:r w:rsidRPr="00574342">
              <w:rPr>
                <w:rFonts w:asciiTheme="majorHAnsi" w:eastAsia="Arial Unicode MS" w:hAnsiTheme="majorHAnsi" w:cs="Gill Sans"/>
                <w:i/>
                <w:color w:val="auto"/>
              </w:rPr>
              <w:t xml:space="preserve">                                                                                                                                                      </w:t>
            </w:r>
            <w:r w:rsidR="002036A1">
              <w:rPr>
                <w:rFonts w:asciiTheme="majorHAnsi" w:eastAsia="Arial Unicode MS" w:hAnsiTheme="majorHAnsi" w:cs="Gill Sans"/>
                <w:i/>
                <w:color w:val="auto"/>
              </w:rPr>
              <w:t xml:space="preserve"> </w:t>
            </w:r>
          </w:p>
          <w:p w14:paraId="0DBD4ED8" w14:textId="77777777" w:rsidR="00C709B4" w:rsidRPr="00574342" w:rsidRDefault="00C709B4" w:rsidP="00C709B4">
            <w:pPr>
              <w:spacing w:line="240" w:lineRule="auto"/>
              <w:rPr>
                <w:rFonts w:asciiTheme="majorHAnsi" w:eastAsia="Arial Unicode MS" w:hAnsiTheme="majorHAnsi" w:cs="Gill Sans"/>
                <w:i/>
                <w:color w:val="auto"/>
              </w:rPr>
            </w:pPr>
          </w:p>
          <w:p w14:paraId="0DBD4ED9" w14:textId="77777777" w:rsidR="00C709B4" w:rsidRPr="00574342" w:rsidRDefault="00C709B4" w:rsidP="00B5534C">
            <w:pPr>
              <w:spacing w:before="60" w:after="60" w:line="240" w:lineRule="auto"/>
              <w:rPr>
                <w:rFonts w:asciiTheme="majorHAnsi" w:eastAsia="Arial Unicode MS" w:hAnsiTheme="majorHAnsi" w:cs="Gill Sans"/>
                <w:i/>
                <w:color w:val="auto"/>
                <w:sz w:val="16"/>
                <w:szCs w:val="16"/>
                <w:lang w:val="en-AU"/>
              </w:rPr>
            </w:pPr>
            <w:r w:rsidRPr="00574342">
              <w:rPr>
                <w:rFonts w:asciiTheme="majorHAnsi" w:eastAsia="Arial Unicode MS" w:hAnsiTheme="majorHAnsi" w:cs="Gill Sans"/>
                <w:i/>
                <w:color w:val="auto"/>
                <w:lang w:val="en-AU"/>
              </w:rPr>
              <w:t>*</w:t>
            </w:r>
            <w:r w:rsidRPr="00574342">
              <w:rPr>
                <w:rFonts w:asciiTheme="majorHAnsi" w:eastAsia="Arial Unicode MS" w:hAnsiTheme="majorHAnsi" w:cs="Gill Sans"/>
                <w:i/>
                <w:color w:val="auto"/>
                <w:sz w:val="16"/>
                <w:szCs w:val="16"/>
                <w:lang w:val="en-AU"/>
              </w:rPr>
              <w:t>Approval from Deputy Representative is required should the Consultancy is not in the SSA</w:t>
            </w:r>
            <w:r w:rsidR="0065276F">
              <w:rPr>
                <w:rFonts w:asciiTheme="majorHAnsi" w:eastAsia="Arial Unicode MS" w:hAnsiTheme="majorHAnsi" w:cs="Gill Sans"/>
                <w:i/>
                <w:color w:val="auto"/>
                <w:sz w:val="16"/>
                <w:szCs w:val="16"/>
                <w:lang w:val="en-AU"/>
              </w:rPr>
              <w:t xml:space="preserve"> (Supply)</w:t>
            </w:r>
            <w:r w:rsidRPr="00574342">
              <w:rPr>
                <w:rFonts w:asciiTheme="majorHAnsi" w:eastAsia="Arial Unicode MS" w:hAnsiTheme="majorHAnsi" w:cs="Gill Sans"/>
                <w:i/>
                <w:color w:val="auto"/>
                <w:sz w:val="16"/>
                <w:szCs w:val="16"/>
                <w:lang w:val="en-AU"/>
              </w:rPr>
              <w:t xml:space="preserve"> Plan</w:t>
            </w:r>
          </w:p>
        </w:tc>
      </w:tr>
      <w:tr w:rsidR="00A9046C" w:rsidRPr="00574342" w14:paraId="0DBD4EEA" w14:textId="77777777" w:rsidTr="00441A2C">
        <w:trPr>
          <w:gridAfter w:val="1"/>
          <w:wAfter w:w="95" w:type="dxa"/>
        </w:trPr>
        <w:tc>
          <w:tcPr>
            <w:tcW w:w="10620" w:type="dxa"/>
            <w:gridSpan w:val="4"/>
            <w:tcBorders>
              <w:top w:val="nil"/>
              <w:left w:val="nil"/>
              <w:bottom w:val="nil"/>
              <w:right w:val="nil"/>
            </w:tcBorders>
            <w:shd w:val="clear" w:color="auto" w:fill="auto"/>
            <w:noWrap/>
            <w:hideMark/>
          </w:tcPr>
          <w:p w14:paraId="0DBD4EDB" w14:textId="77777777" w:rsidR="00A9046C" w:rsidRPr="00574342" w:rsidRDefault="00A9046C" w:rsidP="00441A2C">
            <w:pPr>
              <w:spacing w:before="120" w:line="240" w:lineRule="auto"/>
              <w:rPr>
                <w:rFonts w:asciiTheme="majorHAnsi" w:eastAsia="Arial Unicode MS" w:hAnsiTheme="majorHAnsi" w:cs="Gill Sans"/>
                <w:b/>
                <w:color w:val="0000FF"/>
                <w:sz w:val="16"/>
                <w:szCs w:val="16"/>
                <w:u w:val="single"/>
                <w:lang w:val="en-AU"/>
              </w:rPr>
            </w:pPr>
            <w:r w:rsidRPr="00574342">
              <w:rPr>
                <w:rFonts w:asciiTheme="majorHAnsi" w:eastAsia="Arial Unicode MS" w:hAnsiTheme="majorHAnsi" w:cs="Gill Sans"/>
                <w:b/>
                <w:color w:val="0000FF"/>
                <w:sz w:val="16"/>
                <w:szCs w:val="16"/>
                <w:u w:val="single"/>
                <w:lang w:val="en-AU"/>
              </w:rPr>
              <w:t xml:space="preserve">Checklist for Individual SSA: </w:t>
            </w:r>
          </w:p>
          <w:p w14:paraId="0DBD4EDC" w14:textId="77777777" w:rsidR="00A9046C" w:rsidRPr="00574342" w:rsidRDefault="00A9046C" w:rsidP="00591FFB">
            <w:pPr>
              <w:spacing w:line="240" w:lineRule="auto"/>
              <w:rPr>
                <w:rFonts w:asciiTheme="majorHAnsi" w:eastAsia="Arial Unicode MS" w:hAnsiTheme="majorHAnsi" w:cs="Gill Sans"/>
                <w:color w:val="0000FF"/>
                <w:sz w:val="16"/>
                <w:szCs w:val="16"/>
                <w:lang w:val="en-AU"/>
              </w:rPr>
            </w:pPr>
          </w:p>
          <w:p w14:paraId="0DBD4EDD"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Request as per SSA Plan</w:t>
            </w:r>
          </w:p>
          <w:p w14:paraId="0DBD4EDE"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Evidence of Competitive selection process &amp; matrix (minimum 3 CVs)</w:t>
            </w:r>
          </w:p>
          <w:p w14:paraId="0DBD4EDF"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CRC approval for fee of US$ 50,000 and more</w:t>
            </w:r>
          </w:p>
          <w:p w14:paraId="0DBD4EE0"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CV &amp; P11 of candidates valid for </w:t>
            </w:r>
            <w:r w:rsidR="00A9537B" w:rsidRPr="00574342">
              <w:rPr>
                <w:rFonts w:asciiTheme="majorHAnsi" w:eastAsia="Arial Unicode MS" w:hAnsiTheme="majorHAnsi" w:cs="Gill Sans"/>
                <w:color w:val="0000FF"/>
                <w:sz w:val="18"/>
                <w:szCs w:val="18"/>
                <w:lang w:val="en-AU"/>
              </w:rPr>
              <w:t>12</w:t>
            </w:r>
            <w:r w:rsidRPr="00574342">
              <w:rPr>
                <w:rFonts w:asciiTheme="majorHAnsi" w:eastAsia="Arial Unicode MS" w:hAnsiTheme="majorHAnsi" w:cs="Gill Sans"/>
                <w:color w:val="0000FF"/>
                <w:sz w:val="18"/>
                <w:szCs w:val="18"/>
                <w:lang w:val="en-AU"/>
              </w:rPr>
              <w:t xml:space="preserve"> months</w:t>
            </w:r>
          </w:p>
          <w:p w14:paraId="0DBD4EE1"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Completed Health Statement form</w:t>
            </w:r>
          </w:p>
          <w:p w14:paraId="0DBD4EE2"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Proof of Health Insurance </w:t>
            </w:r>
          </w:p>
          <w:p w14:paraId="0DBD4EE3"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Written Clearance from Government if consultant is government staff</w:t>
            </w:r>
          </w:p>
          <w:p w14:paraId="0DBD4EE4"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Relevant approving body’s approval if consultant is former staff member or retiree (DHR/RO or CO)</w:t>
            </w:r>
          </w:p>
          <w:p w14:paraId="0DBD4EE5"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Consultant Declaration for Retiree</w:t>
            </w:r>
          </w:p>
          <w:p w14:paraId="0DBD4EE6"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MAIP form</w:t>
            </w:r>
          </w:p>
          <w:p w14:paraId="0DBD4EE7" w14:textId="77777777" w:rsidR="00A9046C" w:rsidRPr="00574342" w:rsidRDefault="00A9046C" w:rsidP="00441A2C">
            <w:pPr>
              <w:spacing w:line="180" w:lineRule="auto"/>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Accidental Death &amp; Dismemberment and Accident Medical Coverage UNICEF insurance form for IP consultant</w:t>
            </w:r>
          </w:p>
          <w:p w14:paraId="0DBD4EE8" w14:textId="77777777" w:rsidR="00A9046C" w:rsidRPr="00574342" w:rsidRDefault="00A9046C" w:rsidP="00441A2C">
            <w:pPr>
              <w:spacing w:line="180" w:lineRule="auto"/>
              <w:ind w:left="342" w:hanging="342"/>
              <w:rPr>
                <w:rFonts w:asciiTheme="majorHAnsi" w:eastAsia="Arial Unicode MS" w:hAnsiTheme="majorHAnsi" w:cs="Gill Sans"/>
                <w:color w:val="0000FF"/>
                <w:sz w:val="18"/>
                <w:szCs w:val="18"/>
                <w:lang w:val="en-AU"/>
              </w:rPr>
            </w:pPr>
            <w:r w:rsidRPr="00574342">
              <w:rPr>
                <w:rFonts w:asciiTheme="majorHAnsi" w:eastAsia="Arial Unicode MS" w:hAnsiTheme="majorHAnsi" w:cs="Gill Sans"/>
                <w:color w:val="0000FF"/>
                <w:sz w:val="18"/>
                <w:szCs w:val="18"/>
                <w:lang w:val="en-AU"/>
              </w:rPr>
              <w:fldChar w:fldCharType="begin">
                <w:ffData>
                  <w:name w:val="Check6"/>
                  <w:enabled/>
                  <w:calcOnExit w:val="0"/>
                  <w:checkBox>
                    <w:sizeAuto/>
                    <w:default w:val="0"/>
                  </w:checkBox>
                </w:ffData>
              </w:fldChar>
            </w:r>
            <w:r w:rsidRPr="00574342">
              <w:rPr>
                <w:rFonts w:asciiTheme="majorHAnsi" w:eastAsia="Arial Unicode MS" w:hAnsiTheme="majorHAnsi" w:cs="Gill Sans"/>
                <w:color w:val="0000FF"/>
                <w:sz w:val="18"/>
                <w:szCs w:val="18"/>
                <w:lang w:val="en-AU"/>
              </w:rPr>
              <w:instrText xml:space="preserve"> FORMCHECKBOX </w:instrText>
            </w:r>
            <w:r w:rsidR="008E0E34">
              <w:rPr>
                <w:rFonts w:asciiTheme="majorHAnsi" w:eastAsia="Arial Unicode MS" w:hAnsiTheme="majorHAnsi" w:cs="Gill Sans"/>
                <w:color w:val="0000FF"/>
                <w:sz w:val="18"/>
                <w:szCs w:val="18"/>
                <w:lang w:val="en-AU"/>
              </w:rPr>
            </w:r>
            <w:r w:rsidR="008E0E34">
              <w:rPr>
                <w:rFonts w:asciiTheme="majorHAnsi" w:eastAsia="Arial Unicode MS" w:hAnsiTheme="majorHAnsi" w:cs="Gill Sans"/>
                <w:color w:val="0000FF"/>
                <w:sz w:val="18"/>
                <w:szCs w:val="18"/>
                <w:lang w:val="en-AU"/>
              </w:rPr>
              <w:fldChar w:fldCharType="separate"/>
            </w:r>
            <w:r w:rsidRPr="00574342">
              <w:rPr>
                <w:rFonts w:asciiTheme="majorHAnsi" w:eastAsia="Arial Unicode MS" w:hAnsiTheme="majorHAnsi" w:cs="Gill Sans"/>
                <w:color w:val="0000FF"/>
                <w:sz w:val="18"/>
                <w:szCs w:val="18"/>
                <w:lang w:val="en-AU"/>
              </w:rPr>
              <w:fldChar w:fldCharType="end"/>
            </w:r>
            <w:r w:rsidRPr="00574342">
              <w:rPr>
                <w:rFonts w:asciiTheme="majorHAnsi" w:eastAsia="Arial Unicode MS" w:hAnsiTheme="majorHAnsi" w:cs="Gill Sans"/>
                <w:color w:val="0000FF"/>
                <w:sz w:val="18"/>
                <w:szCs w:val="18"/>
                <w:lang w:val="en-AU"/>
              </w:rPr>
              <w:t xml:space="preserve">  Consultant has not exceeded the maximum duration of service i.e. 11</w:t>
            </w:r>
            <w:r w:rsidR="00C302B1">
              <w:rPr>
                <w:rFonts w:asciiTheme="majorHAnsi" w:eastAsia="Arial Unicode MS" w:hAnsiTheme="majorHAnsi" w:cs="Gill Sans"/>
                <w:color w:val="0000FF"/>
                <w:sz w:val="18"/>
                <w:szCs w:val="18"/>
                <w:lang w:val="en-AU"/>
              </w:rPr>
              <w:t>.5</w:t>
            </w:r>
            <w:r w:rsidRPr="00574342">
              <w:rPr>
                <w:rFonts w:asciiTheme="majorHAnsi" w:eastAsia="Arial Unicode MS" w:hAnsiTheme="majorHAnsi" w:cs="Gill Sans"/>
                <w:color w:val="0000FF"/>
                <w:sz w:val="18"/>
                <w:szCs w:val="18"/>
                <w:lang w:val="en-AU"/>
              </w:rPr>
              <w:t xml:space="preserve"> months </w:t>
            </w:r>
            <w:r w:rsidR="00F11BF5">
              <w:rPr>
                <w:rFonts w:asciiTheme="majorHAnsi" w:eastAsia="Arial Unicode MS" w:hAnsiTheme="majorHAnsi" w:cs="Gill Sans"/>
                <w:color w:val="0000FF"/>
                <w:sz w:val="18"/>
                <w:szCs w:val="18"/>
                <w:lang w:val="en-AU"/>
              </w:rPr>
              <w:t>in any 12 months period</w:t>
            </w:r>
            <w:r w:rsidR="00F11BF5" w:rsidRPr="00F11BF5">
              <w:rPr>
                <w:rFonts w:asciiTheme="majorHAnsi" w:eastAsia="Arial Unicode MS" w:hAnsiTheme="majorHAnsi" w:cs="Gill Sans"/>
                <w:color w:val="0000FF"/>
                <w:sz w:val="18"/>
                <w:szCs w:val="18"/>
                <w:lang w:val="en-AU"/>
              </w:rPr>
              <w:t>, up to a maximum cumulative duration of 46 months in any 48-month period</w:t>
            </w:r>
          </w:p>
          <w:p w14:paraId="0DBD4EE9" w14:textId="77777777" w:rsidR="00A9046C" w:rsidRPr="00574342" w:rsidRDefault="00A9046C" w:rsidP="007D187E">
            <w:pPr>
              <w:spacing w:line="240" w:lineRule="auto"/>
              <w:rPr>
                <w:rFonts w:asciiTheme="majorHAnsi" w:eastAsia="Arial Unicode MS" w:hAnsiTheme="majorHAnsi" w:cs="Gill Sans"/>
                <w:color w:val="auto"/>
                <w:sz w:val="16"/>
                <w:szCs w:val="16"/>
                <w:lang w:val="en-AU"/>
              </w:rPr>
            </w:pPr>
          </w:p>
        </w:tc>
      </w:tr>
    </w:tbl>
    <w:p w14:paraId="0DBD4EEB" w14:textId="77777777" w:rsidR="007D187E" w:rsidRPr="00574342" w:rsidRDefault="00F11BF5" w:rsidP="00441A2C">
      <w:pPr>
        <w:spacing w:before="120" w:after="200"/>
        <w:rPr>
          <w:rFonts w:asciiTheme="majorHAnsi" w:eastAsia="Arial Unicode MS" w:hAnsiTheme="majorHAnsi" w:cs="Gill Sans"/>
        </w:rPr>
      </w:pPr>
      <w:r>
        <w:rPr>
          <w:rFonts w:asciiTheme="majorHAnsi" w:eastAsia="Arial Unicode MS" w:hAnsiTheme="majorHAnsi" w:cs="Gill Sans"/>
        </w:rPr>
        <w:t xml:space="preserve"> </w:t>
      </w:r>
    </w:p>
    <w:sectPr w:rsidR="007D187E" w:rsidRPr="00574342" w:rsidSect="000C569F">
      <w:headerReference w:type="default" r:id="rId10"/>
      <w:footerReference w:type="default" r:id="rId11"/>
      <w:headerReference w:type="first" r:id="rId12"/>
      <w:footerReference w:type="first" r:id="rId13"/>
      <w:pgSz w:w="11900" w:h="16820" w:code="1"/>
      <w:pgMar w:top="216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D4EEE" w14:textId="77777777" w:rsidR="00D15FB1" w:rsidRDefault="00D15FB1" w:rsidP="000157CE">
      <w:pPr>
        <w:spacing w:line="240" w:lineRule="auto"/>
      </w:pPr>
      <w:r>
        <w:separator/>
      </w:r>
    </w:p>
  </w:endnote>
  <w:endnote w:type="continuationSeparator" w:id="0">
    <w:p w14:paraId="0DBD4EEF" w14:textId="77777777" w:rsidR="00D15FB1" w:rsidRDefault="00D15FB1"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4EF5" w14:textId="77777777" w:rsidR="00BA623D" w:rsidRPr="00AF1B08" w:rsidRDefault="00BA623D"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8E0E34">
      <w:rPr>
        <w:rFonts w:ascii="Cambria" w:hAnsi="Cambria"/>
        <w:noProof/>
      </w:rPr>
      <w:t>7</w:t>
    </w:r>
    <w:r w:rsidRPr="00090DEF">
      <w:rPr>
        <w:rFonts w:ascii="Cambria" w:hAnsi="Cambria"/>
        <w:noProof/>
      </w:rPr>
      <w:fldChar w:fldCharType="end"/>
    </w:r>
  </w:p>
  <w:p w14:paraId="0DBD4EF6" w14:textId="77777777" w:rsidR="00BA623D" w:rsidRDefault="00BA623D"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4EFB" w14:textId="77777777" w:rsidR="00BA623D" w:rsidRPr="00AF1B08" w:rsidRDefault="00BA623D"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8E0E34">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D4EEC" w14:textId="77777777" w:rsidR="00D15FB1" w:rsidRDefault="00D15FB1" w:rsidP="000157CE">
      <w:pPr>
        <w:spacing w:line="240" w:lineRule="auto"/>
      </w:pPr>
      <w:r>
        <w:separator/>
      </w:r>
    </w:p>
  </w:footnote>
  <w:footnote w:type="continuationSeparator" w:id="0">
    <w:p w14:paraId="0DBD4EED" w14:textId="77777777" w:rsidR="00D15FB1" w:rsidRDefault="00D15FB1" w:rsidP="000157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460"/>
    </w:tblGrid>
    <w:tr w:rsidR="00BA623D" w:rsidRPr="00FA025F" w14:paraId="0DBD4EF1" w14:textId="77777777" w:rsidTr="00097F81">
      <w:tc>
        <w:tcPr>
          <w:tcW w:w="11016" w:type="dxa"/>
        </w:tcPr>
        <w:p w14:paraId="0DBD4EF0" w14:textId="77777777" w:rsidR="00BA623D" w:rsidRPr="00FA025F" w:rsidRDefault="00BA623D" w:rsidP="00097F81">
          <w:r>
            <w:rPr>
              <w:noProof/>
            </w:rPr>
            <mc:AlternateContent>
              <mc:Choice Requires="wps">
                <w:drawing>
                  <wp:inline distT="0" distB="0" distL="0" distR="0" wp14:anchorId="0DBD4EFC" wp14:editId="0DBD4EFD">
                    <wp:extent cx="6858000" cy="182880"/>
                    <wp:effectExtent l="0" t="0" r="0" b="762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82880"/>
                            </a:xfrm>
                            <a:prstGeom prst="rect">
                              <a:avLst/>
                            </a:prstGeom>
                            <a:gradFill flip="none" rotWithShape="1">
                              <a:gsLst>
                                <a:gs pos="0">
                                  <a:srgbClr val="7A7A7A"/>
                                </a:gs>
                                <a:gs pos="100000">
                                  <a:srgbClr val="F5C201"/>
                                </a:gs>
                              </a:gsLst>
                              <a:lin ang="0" scaled="1"/>
                              <a:tileRect/>
                            </a:gradFill>
                            <a:ln w="28575" cap="flat" cmpd="sng" algn="ctr">
                              <a:noFill/>
                              <a:prstDash val="solid"/>
                            </a:ln>
                            <a:effectLst/>
                          </wps:spPr>
                          <wps:txbx>
                            <w:txbxContent>
                              <w:p w14:paraId="0DBD4EFF" w14:textId="77777777" w:rsidR="00BA623D" w:rsidRDefault="00BA623D" w:rsidP="00925ACA">
                                <w:pPr>
                                  <w:pStyle w:val="Header"/>
                                  <w:jc w:val="right"/>
                                </w:pPr>
                                <w:r>
                                  <w:fldChar w:fldCharType="begin"/>
                                </w:r>
                                <w:r>
                                  <w:instrText xml:space="preserve"> Page </w:instrText>
                                </w:r>
                                <w:r>
                                  <w:fldChar w:fldCharType="separate"/>
                                </w:r>
                                <w:r w:rsidR="008E0E34">
                                  <w:rPr>
                                    <w:noProof/>
                                  </w:rPr>
                                  <w:t>7</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BD4EFC"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" fillcolor="#7a7a7a" stroked="f" strokeweight="2.25pt">
                    <v:fill color2="#f5c201" rotate="t" angle="90" focus="100%" type="gradient"/>
                    <v:path arrowok="t"/>
                    <v:textbox>
                      <w:txbxContent>
                        <w:p w14:paraId="0DBD4EFF" w14:textId="77777777" w:rsidR="00BA623D" w:rsidRDefault="00BA623D" w:rsidP="00925ACA">
                          <w:pPr>
                            <w:pStyle w:val="Header"/>
                            <w:jc w:val="right"/>
                          </w:pPr>
                          <w:r>
                            <w:fldChar w:fldCharType="begin"/>
                          </w:r>
                          <w:r>
                            <w:instrText xml:space="preserve"> Page </w:instrText>
                          </w:r>
                          <w:r>
                            <w:fldChar w:fldCharType="separate"/>
                          </w:r>
                          <w:r w:rsidR="008E0E34">
                            <w:rPr>
                              <w:noProof/>
                            </w:rPr>
                            <w:t>7</w:t>
                          </w:r>
                          <w:r>
                            <w:fldChar w:fldCharType="end"/>
                          </w:r>
                        </w:p>
                      </w:txbxContent>
                    </v:textbox>
                    <w10:anchorlock/>
                  </v:rect>
                </w:pict>
              </mc:Fallback>
            </mc:AlternateContent>
          </w:r>
        </w:p>
      </w:tc>
    </w:tr>
    <w:tr w:rsidR="00BA623D" w:rsidRPr="00FA025F" w14:paraId="0DBD4EF3" w14:textId="77777777" w:rsidTr="00FA025F">
      <w:trPr>
        <w:trHeight w:val="72"/>
      </w:trPr>
      <w:tc>
        <w:tcPr>
          <w:tcW w:w="11016" w:type="dxa"/>
          <w:shd w:val="clear" w:color="auto" w:fill="526DB0"/>
        </w:tcPr>
        <w:p w14:paraId="0DBD4EF2" w14:textId="77777777" w:rsidR="00BA623D" w:rsidRPr="00FA025F" w:rsidRDefault="00BA623D" w:rsidP="00097F81">
          <w:pPr>
            <w:pStyle w:val="MediumGrid21"/>
            <w:rPr>
              <w:sz w:val="2"/>
            </w:rPr>
          </w:pPr>
        </w:p>
      </w:tc>
    </w:tr>
  </w:tbl>
  <w:p w14:paraId="0DBD4EF4" w14:textId="77777777" w:rsidR="00BA623D" w:rsidRDefault="00BA623D" w:rsidP="000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4EF7" w14:textId="77777777" w:rsidR="00BA623D" w:rsidRPr="0035108D" w:rsidRDefault="008E0E34" w:rsidP="00A9537B">
    <w:pPr>
      <w:spacing w:line="240" w:lineRule="auto"/>
      <w:rPr>
        <w:rFonts w:ascii="Cambria" w:hAnsi="Cambria"/>
        <w:sz w:val="48"/>
        <w:szCs w:val="48"/>
      </w:rPr>
    </w:pPr>
    <w:r>
      <w:rPr>
        <w:rFonts w:ascii="Cambria" w:hAnsi="Cambria"/>
        <w:noProof/>
        <w:sz w:val="48"/>
        <w:szCs w:val="48"/>
      </w:rPr>
      <w:object w:dxaOrig="1440" w:dyaOrig="1440" w14:anchorId="0DBD4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9.15pt;margin-top:-18pt;width:64.05pt;height:68.4pt;z-index:251657216;mso-wrap-edited:f" wrapcoords="-342 0 -342 20955 21600 20955 21600 0 -342 0" o:allowincell="f">
          <v:imagedata r:id="rId1" o:title=""/>
          <w10:wrap type="through"/>
        </v:shape>
        <o:OLEObject Type="Embed" ProgID="WPDraw30.Drawing" ShapeID="_x0000_s2049" DrawAspect="Content" ObjectID="_1557899259" r:id="rId2"/>
      </w:object>
    </w:r>
    <w:r w:rsidR="00BA623D" w:rsidRPr="0035108D">
      <w:rPr>
        <w:rFonts w:ascii="Cambria" w:hAnsi="Cambria"/>
        <w:sz w:val="48"/>
        <w:szCs w:val="48"/>
      </w:rPr>
      <w:t xml:space="preserve">TERMS OF REFERENCE FOR </w:t>
    </w:r>
    <w:r w:rsidR="00BA623D">
      <w:rPr>
        <w:rFonts w:ascii="Cambria" w:hAnsi="Cambria"/>
        <w:sz w:val="48"/>
        <w:szCs w:val="48"/>
      </w:rPr>
      <w:t>INDIVIDUAL CONSULTANTS/ CONTRACTORS</w:t>
    </w:r>
  </w:p>
  <w:tbl>
    <w:tblPr>
      <w:tblW w:w="10800" w:type="dxa"/>
      <w:shd w:val="clear" w:color="auto" w:fill="FF0000"/>
      <w:tblCellMar>
        <w:left w:w="0" w:type="dxa"/>
        <w:right w:w="0" w:type="dxa"/>
      </w:tblCellMar>
      <w:tblLook w:val="04A0" w:firstRow="1" w:lastRow="0" w:firstColumn="1" w:lastColumn="0" w:noHBand="0" w:noVBand="1"/>
    </w:tblPr>
    <w:tblGrid>
      <w:gridCol w:w="10800"/>
    </w:tblGrid>
    <w:tr w:rsidR="00BA623D" w:rsidRPr="00FA025F" w14:paraId="0DBD4EF9" w14:textId="77777777" w:rsidTr="00D71813">
      <w:tc>
        <w:tcPr>
          <w:tcW w:w="10800" w:type="dxa"/>
          <w:shd w:val="clear" w:color="auto" w:fill="FF0000"/>
        </w:tcPr>
        <w:p w14:paraId="0DBD4EF8" w14:textId="77777777" w:rsidR="00BA623D" w:rsidRPr="00FA025F" w:rsidRDefault="00BA623D" w:rsidP="00CB2BB4">
          <w:pPr>
            <w:tabs>
              <w:tab w:val="left" w:pos="720"/>
              <w:tab w:val="left" w:pos="1440"/>
              <w:tab w:val="left" w:pos="1828"/>
            </w:tabs>
            <w:spacing w:before="60" w:after="40"/>
          </w:pPr>
        </w:p>
      </w:tc>
    </w:tr>
  </w:tbl>
  <w:p w14:paraId="0DBD4EFA" w14:textId="77777777" w:rsidR="00BA623D" w:rsidRDefault="00BA623D" w:rsidP="0015288B">
    <w:pPr>
      <w:pStyle w:val="MediumGrid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9075F"/>
    <w:multiLevelType w:val="hybridMultilevel"/>
    <w:tmpl w:val="8654CE42"/>
    <w:lvl w:ilvl="0" w:tplc="A32AF0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42D76"/>
    <w:multiLevelType w:val="multilevel"/>
    <w:tmpl w:val="90A0D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147B9"/>
    <w:multiLevelType w:val="hybridMultilevel"/>
    <w:tmpl w:val="11FC404C"/>
    <w:lvl w:ilvl="0" w:tplc="932ED2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10D1A"/>
    <w:multiLevelType w:val="hybridMultilevel"/>
    <w:tmpl w:val="C33212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51C70"/>
    <w:multiLevelType w:val="hybridMultilevel"/>
    <w:tmpl w:val="4AA4F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45E8B"/>
    <w:multiLevelType w:val="multilevel"/>
    <w:tmpl w:val="92205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C0878"/>
    <w:multiLevelType w:val="multilevel"/>
    <w:tmpl w:val="2EA87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03324"/>
    <w:multiLevelType w:val="hybridMultilevel"/>
    <w:tmpl w:val="6602DF56"/>
    <w:lvl w:ilvl="0" w:tplc="A8766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0FC4"/>
    <w:multiLevelType w:val="hybridMultilevel"/>
    <w:tmpl w:val="FA66D158"/>
    <w:lvl w:ilvl="0" w:tplc="F0E28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5021C"/>
    <w:multiLevelType w:val="multilevel"/>
    <w:tmpl w:val="4378C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5485F"/>
    <w:multiLevelType w:val="hybridMultilevel"/>
    <w:tmpl w:val="F8206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9679D"/>
    <w:multiLevelType w:val="hybridMultilevel"/>
    <w:tmpl w:val="9DA41474"/>
    <w:lvl w:ilvl="0" w:tplc="5C62AE5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B5D6CEA"/>
    <w:multiLevelType w:val="hybridMultilevel"/>
    <w:tmpl w:val="3B848A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028B"/>
    <w:multiLevelType w:val="hybridMultilevel"/>
    <w:tmpl w:val="6A76CD4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F3960"/>
    <w:multiLevelType w:val="hybridMultilevel"/>
    <w:tmpl w:val="E16EF87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13AD8"/>
    <w:multiLevelType w:val="hybridMultilevel"/>
    <w:tmpl w:val="750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940A9"/>
    <w:multiLevelType w:val="hybridMultilevel"/>
    <w:tmpl w:val="4B9290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2A4C33"/>
    <w:multiLevelType w:val="hybridMultilevel"/>
    <w:tmpl w:val="F9B2CAB8"/>
    <w:lvl w:ilvl="0" w:tplc="B4687F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303A1"/>
    <w:multiLevelType w:val="hybridMultilevel"/>
    <w:tmpl w:val="345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564A6"/>
    <w:multiLevelType w:val="hybridMultilevel"/>
    <w:tmpl w:val="23888BD6"/>
    <w:lvl w:ilvl="0" w:tplc="5ADE7F5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9A2266"/>
    <w:multiLevelType w:val="hybridMultilevel"/>
    <w:tmpl w:val="BC384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20707"/>
    <w:multiLevelType w:val="hybridMultilevel"/>
    <w:tmpl w:val="68F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212E5"/>
    <w:multiLevelType w:val="multilevel"/>
    <w:tmpl w:val="2924B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E59EC"/>
    <w:multiLevelType w:val="hybridMultilevel"/>
    <w:tmpl w:val="0FAE0D8C"/>
    <w:lvl w:ilvl="0" w:tplc="3CA2970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921AB"/>
    <w:multiLevelType w:val="hybridMultilevel"/>
    <w:tmpl w:val="247C1BD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2187028">
      <w:start w:val="2"/>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540F7E"/>
    <w:multiLevelType w:val="multilevel"/>
    <w:tmpl w:val="073E5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5"/>
    <w:lvlOverride w:ilvl="0">
      <w:startOverride w:val="1"/>
    </w:lvlOverride>
  </w:num>
  <w:num w:numId="13">
    <w:abstractNumId w:val="35"/>
    <w:lvlOverride w:ilvl="0">
      <w:startOverride w:val="1"/>
    </w:lvlOverride>
  </w:num>
  <w:num w:numId="14">
    <w:abstractNumId w:val="10"/>
  </w:num>
  <w:num w:numId="15">
    <w:abstractNumId w:val="20"/>
  </w:num>
  <w:num w:numId="16">
    <w:abstractNumId w:val="32"/>
  </w:num>
  <w:num w:numId="17">
    <w:abstractNumId w:val="12"/>
  </w:num>
  <w:num w:numId="18">
    <w:abstractNumId w:val="24"/>
  </w:num>
  <w:num w:numId="19">
    <w:abstractNumId w:val="19"/>
  </w:num>
  <w:num w:numId="20">
    <w:abstractNumId w:val="31"/>
  </w:num>
  <w:num w:numId="21">
    <w:abstractNumId w:val="36"/>
  </w:num>
  <w:num w:numId="22">
    <w:abstractNumId w:val="23"/>
  </w:num>
  <w:num w:numId="23">
    <w:abstractNumId w:val="33"/>
  </w:num>
  <w:num w:numId="24">
    <w:abstractNumId w:val="39"/>
  </w:num>
  <w:num w:numId="25">
    <w:abstractNumId w:val="38"/>
  </w:num>
  <w:num w:numId="26">
    <w:abstractNumId w:val="21"/>
  </w:num>
  <w:num w:numId="27">
    <w:abstractNumId w:val="27"/>
  </w:num>
  <w:num w:numId="28">
    <w:abstractNumId w:val="29"/>
  </w:num>
  <w:num w:numId="29">
    <w:abstractNumId w:val="26"/>
  </w:num>
  <w:num w:numId="30">
    <w:abstractNumId w:val="14"/>
  </w:num>
  <w:num w:numId="31">
    <w:abstractNumId w:val="16"/>
  </w:num>
  <w:num w:numId="32">
    <w:abstractNumId w:val="11"/>
  </w:num>
  <w:num w:numId="33">
    <w:abstractNumId w:val="22"/>
  </w:num>
  <w:num w:numId="34">
    <w:abstractNumId w:val="28"/>
  </w:num>
  <w:num w:numId="35">
    <w:abstractNumId w:val="40"/>
  </w:num>
  <w:num w:numId="36">
    <w:abstractNumId w:val="18"/>
  </w:num>
  <w:num w:numId="37">
    <w:abstractNumId w:val="13"/>
  </w:num>
  <w:num w:numId="38">
    <w:abstractNumId w:val="37"/>
  </w:num>
  <w:num w:numId="39">
    <w:abstractNumId w:val="17"/>
  </w:num>
  <w:num w:numId="40">
    <w:abstractNumId w:val="30"/>
  </w:num>
  <w:num w:numId="41">
    <w:abstractNumId w:val="34"/>
  </w:num>
  <w:num w:numId="42">
    <w:abstractNumId w:val="1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1"/>
    <w:rsid w:val="00001008"/>
    <w:rsid w:val="00011046"/>
    <w:rsid w:val="000115BB"/>
    <w:rsid w:val="000121CF"/>
    <w:rsid w:val="000124DB"/>
    <w:rsid w:val="000147D7"/>
    <w:rsid w:val="000157CE"/>
    <w:rsid w:val="00021DEE"/>
    <w:rsid w:val="00040E6F"/>
    <w:rsid w:val="00050191"/>
    <w:rsid w:val="00063BF9"/>
    <w:rsid w:val="00070E6B"/>
    <w:rsid w:val="00081C0B"/>
    <w:rsid w:val="00090DEF"/>
    <w:rsid w:val="00095160"/>
    <w:rsid w:val="00097F81"/>
    <w:rsid w:val="000B1437"/>
    <w:rsid w:val="000B2A52"/>
    <w:rsid w:val="000C569F"/>
    <w:rsid w:val="000D25C9"/>
    <w:rsid w:val="000D3CF7"/>
    <w:rsid w:val="000D46D0"/>
    <w:rsid w:val="000E02AF"/>
    <w:rsid w:val="000F7C49"/>
    <w:rsid w:val="001042C9"/>
    <w:rsid w:val="00106778"/>
    <w:rsid w:val="00111D36"/>
    <w:rsid w:val="0015288B"/>
    <w:rsid w:val="0016338D"/>
    <w:rsid w:val="00165340"/>
    <w:rsid w:val="00174619"/>
    <w:rsid w:val="00180AFB"/>
    <w:rsid w:val="00182B46"/>
    <w:rsid w:val="00187E4B"/>
    <w:rsid w:val="001A1B8E"/>
    <w:rsid w:val="001A2D5E"/>
    <w:rsid w:val="001B13E9"/>
    <w:rsid w:val="001C2C28"/>
    <w:rsid w:val="001D00CA"/>
    <w:rsid w:val="001D21AC"/>
    <w:rsid w:val="001D45E7"/>
    <w:rsid w:val="001D5D4B"/>
    <w:rsid w:val="001E1932"/>
    <w:rsid w:val="001E7F15"/>
    <w:rsid w:val="001F199D"/>
    <w:rsid w:val="001F3F6A"/>
    <w:rsid w:val="002036A1"/>
    <w:rsid w:val="002120A2"/>
    <w:rsid w:val="002347E7"/>
    <w:rsid w:val="00247685"/>
    <w:rsid w:val="002514AC"/>
    <w:rsid w:val="00263D63"/>
    <w:rsid w:val="00263FBD"/>
    <w:rsid w:val="00265A7E"/>
    <w:rsid w:val="0027239E"/>
    <w:rsid w:val="0027249C"/>
    <w:rsid w:val="00274AD5"/>
    <w:rsid w:val="00285A96"/>
    <w:rsid w:val="002901A7"/>
    <w:rsid w:val="002A1B9F"/>
    <w:rsid w:val="002A2E49"/>
    <w:rsid w:val="002A3D12"/>
    <w:rsid w:val="002A6A6C"/>
    <w:rsid w:val="002D165B"/>
    <w:rsid w:val="002E6C22"/>
    <w:rsid w:val="002E7884"/>
    <w:rsid w:val="002F3A0A"/>
    <w:rsid w:val="00303E73"/>
    <w:rsid w:val="003229E6"/>
    <w:rsid w:val="003272A8"/>
    <w:rsid w:val="00337A36"/>
    <w:rsid w:val="003466A8"/>
    <w:rsid w:val="0035108D"/>
    <w:rsid w:val="00352614"/>
    <w:rsid w:val="003575FA"/>
    <w:rsid w:val="00365F0C"/>
    <w:rsid w:val="0037630D"/>
    <w:rsid w:val="0037722A"/>
    <w:rsid w:val="00386778"/>
    <w:rsid w:val="00391F9D"/>
    <w:rsid w:val="00394C47"/>
    <w:rsid w:val="00397279"/>
    <w:rsid w:val="003D467B"/>
    <w:rsid w:val="003E3969"/>
    <w:rsid w:val="003E5B28"/>
    <w:rsid w:val="003E6944"/>
    <w:rsid w:val="003E7B8A"/>
    <w:rsid w:val="00400593"/>
    <w:rsid w:val="0040240F"/>
    <w:rsid w:val="004167DF"/>
    <w:rsid w:val="004349E9"/>
    <w:rsid w:val="00441A2C"/>
    <w:rsid w:val="00454A43"/>
    <w:rsid w:val="00463B0C"/>
    <w:rsid w:val="00480789"/>
    <w:rsid w:val="00481D8D"/>
    <w:rsid w:val="00482453"/>
    <w:rsid w:val="004A2077"/>
    <w:rsid w:val="004A2333"/>
    <w:rsid w:val="004A3BC6"/>
    <w:rsid w:val="004B2540"/>
    <w:rsid w:val="004B27D5"/>
    <w:rsid w:val="004D283F"/>
    <w:rsid w:val="004D2861"/>
    <w:rsid w:val="004D61F7"/>
    <w:rsid w:val="004E02D4"/>
    <w:rsid w:val="004E33FA"/>
    <w:rsid w:val="004E759E"/>
    <w:rsid w:val="0050196A"/>
    <w:rsid w:val="005076FE"/>
    <w:rsid w:val="00511990"/>
    <w:rsid w:val="0051393C"/>
    <w:rsid w:val="00522596"/>
    <w:rsid w:val="0052343A"/>
    <w:rsid w:val="005239BE"/>
    <w:rsid w:val="00524137"/>
    <w:rsid w:val="0053718E"/>
    <w:rsid w:val="005371F7"/>
    <w:rsid w:val="0055300A"/>
    <w:rsid w:val="005635BB"/>
    <w:rsid w:val="005670BC"/>
    <w:rsid w:val="0057026A"/>
    <w:rsid w:val="005713F2"/>
    <w:rsid w:val="00572683"/>
    <w:rsid w:val="00574342"/>
    <w:rsid w:val="005774AD"/>
    <w:rsid w:val="005774DC"/>
    <w:rsid w:val="00581472"/>
    <w:rsid w:val="005821CE"/>
    <w:rsid w:val="005906F0"/>
    <w:rsid w:val="00591FFB"/>
    <w:rsid w:val="00595496"/>
    <w:rsid w:val="005966ED"/>
    <w:rsid w:val="005A7F42"/>
    <w:rsid w:val="005B02F5"/>
    <w:rsid w:val="005B4F84"/>
    <w:rsid w:val="005B6A50"/>
    <w:rsid w:val="005C3CC3"/>
    <w:rsid w:val="005D4BDA"/>
    <w:rsid w:val="005E393D"/>
    <w:rsid w:val="005E56FB"/>
    <w:rsid w:val="005F2FF9"/>
    <w:rsid w:val="005F50F2"/>
    <w:rsid w:val="00605ED9"/>
    <w:rsid w:val="006271F1"/>
    <w:rsid w:val="006371C5"/>
    <w:rsid w:val="00641300"/>
    <w:rsid w:val="006423A8"/>
    <w:rsid w:val="00643B0F"/>
    <w:rsid w:val="006524F6"/>
    <w:rsid w:val="0065276F"/>
    <w:rsid w:val="00664EFC"/>
    <w:rsid w:val="00665277"/>
    <w:rsid w:val="006679AB"/>
    <w:rsid w:val="00675061"/>
    <w:rsid w:val="00675AF9"/>
    <w:rsid w:val="00680115"/>
    <w:rsid w:val="006A0C2E"/>
    <w:rsid w:val="006A2623"/>
    <w:rsid w:val="006D2110"/>
    <w:rsid w:val="006E124F"/>
    <w:rsid w:val="006E2253"/>
    <w:rsid w:val="006E3308"/>
    <w:rsid w:val="006E414B"/>
    <w:rsid w:val="006E6039"/>
    <w:rsid w:val="006F13A5"/>
    <w:rsid w:val="006F6F2E"/>
    <w:rsid w:val="007078EB"/>
    <w:rsid w:val="0071292A"/>
    <w:rsid w:val="007161BA"/>
    <w:rsid w:val="00716844"/>
    <w:rsid w:val="00720109"/>
    <w:rsid w:val="007268AD"/>
    <w:rsid w:val="00727B4C"/>
    <w:rsid w:val="007358FC"/>
    <w:rsid w:val="0073605F"/>
    <w:rsid w:val="00736F7B"/>
    <w:rsid w:val="00743CAD"/>
    <w:rsid w:val="007632B7"/>
    <w:rsid w:val="007909E5"/>
    <w:rsid w:val="00795A3B"/>
    <w:rsid w:val="00796C19"/>
    <w:rsid w:val="00796F14"/>
    <w:rsid w:val="007A531C"/>
    <w:rsid w:val="007A60F7"/>
    <w:rsid w:val="007B64B6"/>
    <w:rsid w:val="007B7A8D"/>
    <w:rsid w:val="007C0AAE"/>
    <w:rsid w:val="007C339D"/>
    <w:rsid w:val="007C3FD3"/>
    <w:rsid w:val="007D187E"/>
    <w:rsid w:val="007D1CD7"/>
    <w:rsid w:val="007E1099"/>
    <w:rsid w:val="007E31A3"/>
    <w:rsid w:val="0080035B"/>
    <w:rsid w:val="00803A3E"/>
    <w:rsid w:val="00810523"/>
    <w:rsid w:val="008112E3"/>
    <w:rsid w:val="00811936"/>
    <w:rsid w:val="00812657"/>
    <w:rsid w:val="00821421"/>
    <w:rsid w:val="00824D81"/>
    <w:rsid w:val="00825F00"/>
    <w:rsid w:val="00830981"/>
    <w:rsid w:val="00844017"/>
    <w:rsid w:val="008461DF"/>
    <w:rsid w:val="00847FF7"/>
    <w:rsid w:val="0086410D"/>
    <w:rsid w:val="00867DE4"/>
    <w:rsid w:val="008741E6"/>
    <w:rsid w:val="008915C7"/>
    <w:rsid w:val="008940A8"/>
    <w:rsid w:val="008A355D"/>
    <w:rsid w:val="008A38E2"/>
    <w:rsid w:val="008A4897"/>
    <w:rsid w:val="008B0335"/>
    <w:rsid w:val="008B7A4E"/>
    <w:rsid w:val="008C0D0D"/>
    <w:rsid w:val="008C18D6"/>
    <w:rsid w:val="008C1AD6"/>
    <w:rsid w:val="008C3E14"/>
    <w:rsid w:val="008C62C4"/>
    <w:rsid w:val="008C6352"/>
    <w:rsid w:val="008D25B0"/>
    <w:rsid w:val="008D2928"/>
    <w:rsid w:val="008D777E"/>
    <w:rsid w:val="008E0E34"/>
    <w:rsid w:val="008E603E"/>
    <w:rsid w:val="008F7390"/>
    <w:rsid w:val="009016AF"/>
    <w:rsid w:val="009035A3"/>
    <w:rsid w:val="009108B1"/>
    <w:rsid w:val="009136B8"/>
    <w:rsid w:val="00923A6E"/>
    <w:rsid w:val="0092544B"/>
    <w:rsid w:val="009254AC"/>
    <w:rsid w:val="00925ACA"/>
    <w:rsid w:val="00927C0F"/>
    <w:rsid w:val="00930D68"/>
    <w:rsid w:val="00954FA7"/>
    <w:rsid w:val="00970CEB"/>
    <w:rsid w:val="009719B6"/>
    <w:rsid w:val="00980E3E"/>
    <w:rsid w:val="009825F1"/>
    <w:rsid w:val="00984345"/>
    <w:rsid w:val="00987CDA"/>
    <w:rsid w:val="00990E2A"/>
    <w:rsid w:val="0099337B"/>
    <w:rsid w:val="009A4637"/>
    <w:rsid w:val="009C26F7"/>
    <w:rsid w:val="009C2895"/>
    <w:rsid w:val="009C6175"/>
    <w:rsid w:val="009D1416"/>
    <w:rsid w:val="009E0595"/>
    <w:rsid w:val="009E1D92"/>
    <w:rsid w:val="009E3C68"/>
    <w:rsid w:val="009F091F"/>
    <w:rsid w:val="009F23EB"/>
    <w:rsid w:val="009F501F"/>
    <w:rsid w:val="00A2630D"/>
    <w:rsid w:val="00A26DEC"/>
    <w:rsid w:val="00A348AD"/>
    <w:rsid w:val="00A44052"/>
    <w:rsid w:val="00A516EF"/>
    <w:rsid w:val="00A55765"/>
    <w:rsid w:val="00A558D4"/>
    <w:rsid w:val="00A573DF"/>
    <w:rsid w:val="00A735CA"/>
    <w:rsid w:val="00A75F58"/>
    <w:rsid w:val="00A80662"/>
    <w:rsid w:val="00A81C2E"/>
    <w:rsid w:val="00A87922"/>
    <w:rsid w:val="00A902E5"/>
    <w:rsid w:val="00A9046C"/>
    <w:rsid w:val="00A940AD"/>
    <w:rsid w:val="00A9537B"/>
    <w:rsid w:val="00AA5778"/>
    <w:rsid w:val="00AA7E6D"/>
    <w:rsid w:val="00AB0487"/>
    <w:rsid w:val="00AC7D3E"/>
    <w:rsid w:val="00AD3A44"/>
    <w:rsid w:val="00AD52F3"/>
    <w:rsid w:val="00AD66C1"/>
    <w:rsid w:val="00AE6241"/>
    <w:rsid w:val="00AF11D8"/>
    <w:rsid w:val="00AF1B08"/>
    <w:rsid w:val="00B10F87"/>
    <w:rsid w:val="00B3015D"/>
    <w:rsid w:val="00B32E02"/>
    <w:rsid w:val="00B376EE"/>
    <w:rsid w:val="00B4714C"/>
    <w:rsid w:val="00B504E9"/>
    <w:rsid w:val="00B5534C"/>
    <w:rsid w:val="00B67F3A"/>
    <w:rsid w:val="00B74A24"/>
    <w:rsid w:val="00B759B8"/>
    <w:rsid w:val="00B77082"/>
    <w:rsid w:val="00B77174"/>
    <w:rsid w:val="00B82558"/>
    <w:rsid w:val="00B83253"/>
    <w:rsid w:val="00B836C4"/>
    <w:rsid w:val="00B90A92"/>
    <w:rsid w:val="00BA3100"/>
    <w:rsid w:val="00BA623D"/>
    <w:rsid w:val="00BA75A5"/>
    <w:rsid w:val="00BB6C47"/>
    <w:rsid w:val="00BC0BCF"/>
    <w:rsid w:val="00BC4D8B"/>
    <w:rsid w:val="00BD5A48"/>
    <w:rsid w:val="00BD7193"/>
    <w:rsid w:val="00BD7B5D"/>
    <w:rsid w:val="00BE2CED"/>
    <w:rsid w:val="00BE5519"/>
    <w:rsid w:val="00BE60E5"/>
    <w:rsid w:val="00BE657F"/>
    <w:rsid w:val="00BF2518"/>
    <w:rsid w:val="00BF374C"/>
    <w:rsid w:val="00C02CEA"/>
    <w:rsid w:val="00C121FE"/>
    <w:rsid w:val="00C1554A"/>
    <w:rsid w:val="00C302B1"/>
    <w:rsid w:val="00C30C29"/>
    <w:rsid w:val="00C32E91"/>
    <w:rsid w:val="00C33203"/>
    <w:rsid w:val="00C34BE2"/>
    <w:rsid w:val="00C42C9A"/>
    <w:rsid w:val="00C54694"/>
    <w:rsid w:val="00C560FD"/>
    <w:rsid w:val="00C565EB"/>
    <w:rsid w:val="00C57D93"/>
    <w:rsid w:val="00C65B82"/>
    <w:rsid w:val="00C709B4"/>
    <w:rsid w:val="00C71F48"/>
    <w:rsid w:val="00C83CC9"/>
    <w:rsid w:val="00C8613F"/>
    <w:rsid w:val="00C94AC6"/>
    <w:rsid w:val="00C969FF"/>
    <w:rsid w:val="00CA412B"/>
    <w:rsid w:val="00CB2BB4"/>
    <w:rsid w:val="00CB66C0"/>
    <w:rsid w:val="00CC1A67"/>
    <w:rsid w:val="00CD0C99"/>
    <w:rsid w:val="00CD4B6A"/>
    <w:rsid w:val="00CE202A"/>
    <w:rsid w:val="00CE204C"/>
    <w:rsid w:val="00CE32AC"/>
    <w:rsid w:val="00CF212C"/>
    <w:rsid w:val="00CF61AF"/>
    <w:rsid w:val="00D03231"/>
    <w:rsid w:val="00D05B66"/>
    <w:rsid w:val="00D06F09"/>
    <w:rsid w:val="00D0795C"/>
    <w:rsid w:val="00D13A8A"/>
    <w:rsid w:val="00D15FB1"/>
    <w:rsid w:val="00D22E7C"/>
    <w:rsid w:val="00D26E82"/>
    <w:rsid w:val="00D328ED"/>
    <w:rsid w:val="00D50A9D"/>
    <w:rsid w:val="00D71813"/>
    <w:rsid w:val="00D97570"/>
    <w:rsid w:val="00DA5361"/>
    <w:rsid w:val="00DC2BC5"/>
    <w:rsid w:val="00DD3F28"/>
    <w:rsid w:val="00DD6631"/>
    <w:rsid w:val="00DD7C68"/>
    <w:rsid w:val="00DE6ECB"/>
    <w:rsid w:val="00DF25D2"/>
    <w:rsid w:val="00DF35C8"/>
    <w:rsid w:val="00DF7F51"/>
    <w:rsid w:val="00E04C03"/>
    <w:rsid w:val="00E060C9"/>
    <w:rsid w:val="00E11543"/>
    <w:rsid w:val="00E15C46"/>
    <w:rsid w:val="00E21781"/>
    <w:rsid w:val="00E21F62"/>
    <w:rsid w:val="00E27024"/>
    <w:rsid w:val="00E3188C"/>
    <w:rsid w:val="00E33AE8"/>
    <w:rsid w:val="00E34578"/>
    <w:rsid w:val="00E4095B"/>
    <w:rsid w:val="00E40F67"/>
    <w:rsid w:val="00E430C5"/>
    <w:rsid w:val="00E5647C"/>
    <w:rsid w:val="00E86209"/>
    <w:rsid w:val="00EA3170"/>
    <w:rsid w:val="00EB4202"/>
    <w:rsid w:val="00EC7493"/>
    <w:rsid w:val="00ED0FC5"/>
    <w:rsid w:val="00EE2D21"/>
    <w:rsid w:val="00EE39C2"/>
    <w:rsid w:val="00EE457F"/>
    <w:rsid w:val="00EF166A"/>
    <w:rsid w:val="00EF7294"/>
    <w:rsid w:val="00F005EA"/>
    <w:rsid w:val="00F05E16"/>
    <w:rsid w:val="00F07938"/>
    <w:rsid w:val="00F1167D"/>
    <w:rsid w:val="00F11BF5"/>
    <w:rsid w:val="00F21720"/>
    <w:rsid w:val="00F445ED"/>
    <w:rsid w:val="00F542F6"/>
    <w:rsid w:val="00F643EA"/>
    <w:rsid w:val="00F67C7B"/>
    <w:rsid w:val="00F73F39"/>
    <w:rsid w:val="00F76055"/>
    <w:rsid w:val="00F858A5"/>
    <w:rsid w:val="00F95ED3"/>
    <w:rsid w:val="00F96C3E"/>
    <w:rsid w:val="00FA025F"/>
    <w:rsid w:val="00FA03D3"/>
    <w:rsid w:val="00FA13B4"/>
    <w:rsid w:val="00FA140B"/>
    <w:rsid w:val="00FA2728"/>
    <w:rsid w:val="00FA27F1"/>
    <w:rsid w:val="00FC66AF"/>
    <w:rsid w:val="00FC6874"/>
    <w:rsid w:val="00FD3D1C"/>
    <w:rsid w:val="00FE0074"/>
    <w:rsid w:val="00FE3228"/>
    <w:rsid w:val="00FE33AD"/>
    <w:rsid w:val="00FE3A66"/>
    <w:rsid w:val="00FE575B"/>
    <w:rsid w:val="00FF0147"/>
    <w:rsid w:val="00FF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BD4E62"/>
  <w15:docId w15:val="{2357220D-9CDE-46B3-B3FB-50B1692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rsid w:val="00930D68"/>
    <w:pPr>
      <w:spacing w:line="240" w:lineRule="auto"/>
    </w:pPr>
    <w:rPr>
      <w:i/>
      <w:color w:val="595959"/>
      <w:sz w:val="16"/>
    </w:rPr>
  </w:style>
  <w:style w:type="character" w:customStyle="1" w:styleId="FootnoteTextChar">
    <w:name w:val="Footnote Text Char"/>
    <w:link w:val="FootnoteText"/>
    <w:rsid w:val="00930D68"/>
    <w:rPr>
      <w:i/>
      <w:color w:val="595959"/>
      <w:sz w:val="16"/>
    </w:rPr>
  </w:style>
  <w:style w:type="character" w:styleId="FootnoteReference">
    <w:name w:val="footnote reference"/>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Akapit z listą BS,List Paragraph1,List Paragraph - Dani,List Paragraph 1 - Dani,List Paragraph (numbered (a)),Lapis Bulleted List,Project Profile name"/>
    <w:basedOn w:val="Normal"/>
    <w:link w:val="ListParagraphChar"/>
    <w:uiPriority w:val="34"/>
    <w:qFormat/>
    <w:rsid w:val="007D187E"/>
    <w:pPr>
      <w:ind w:left="720"/>
      <w:contextualSpacing/>
    </w:pPr>
  </w:style>
  <w:style w:type="character" w:styleId="Hyperlink">
    <w:name w:val="Hyperlink"/>
    <w:basedOn w:val="DefaultParagraphFont"/>
    <w:uiPriority w:val="99"/>
    <w:unhideWhenUsed/>
    <w:rsid w:val="00AA7E6D"/>
    <w:rPr>
      <w:color w:val="0000FF" w:themeColor="hyperlink"/>
      <w:u w:val="single"/>
    </w:rPr>
  </w:style>
  <w:style w:type="character" w:customStyle="1" w:styleId="ListParagraphChar">
    <w:name w:val="List Paragraph Char"/>
    <w:aliases w:val="Akapit z listą BS Char,List Paragraph1 Char,List Paragraph - Dani Char,List Paragraph 1 - Dani Char,List Paragraph (numbered (a)) Char,Lapis Bulleted List Char,Project Profile name Char"/>
    <w:link w:val="ListParagraph"/>
    <w:uiPriority w:val="34"/>
    <w:rsid w:val="00BA31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5059-9C5B-4CC2-9528-EFBBAFD8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Ider Dungerdorj</dc:creator>
  <cp:lastModifiedBy>Juna Wauran</cp:lastModifiedBy>
  <cp:revision>6</cp:revision>
  <cp:lastPrinted>2016-10-12T08:34:00Z</cp:lastPrinted>
  <dcterms:created xsi:type="dcterms:W3CDTF">2017-06-02T01:59:00Z</dcterms:created>
  <dcterms:modified xsi:type="dcterms:W3CDTF">2017-06-02T02:01:00Z</dcterms:modified>
</cp:coreProperties>
</file>