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46" w:rsidRDefault="00262C46">
      <w:pPr>
        <w:jc w:val="both"/>
        <w:rPr>
          <w:b/>
          <w:lang w:val="en-US"/>
        </w:rPr>
      </w:pPr>
    </w:p>
    <w:p w:rsidR="00262C46" w:rsidRDefault="00FB6155">
      <w:pPr>
        <w:jc w:val="center"/>
        <w:rPr>
          <w:b/>
        </w:rPr>
      </w:pPr>
      <w:r>
        <w:rPr>
          <w:b/>
        </w:rPr>
        <w:t>ТЕХНИЧЕСКОЕ ЗАДАНИЕ</w:t>
      </w:r>
    </w:p>
    <w:p w:rsidR="00262C46" w:rsidRDefault="00262C46">
      <w:pPr>
        <w:jc w:val="center"/>
        <w:rPr>
          <w:b/>
        </w:rPr>
      </w:pPr>
    </w:p>
    <w:tbl>
      <w:tblPr>
        <w:tblW w:w="0" w:type="auto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5204"/>
      </w:tblGrid>
      <w:tr w:rsidR="00262C46"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Название программы/проекта: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ind w:right="318"/>
              <w:jc w:val="both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Здравоохранение и питание</w:t>
            </w:r>
          </w:p>
        </w:tc>
      </w:tr>
      <w:tr w:rsidR="00262C46"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Название задания: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332AF0" w:rsidP="00DC22D8">
            <w:pPr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332AF0">
              <w:rPr>
                <w:rFonts w:ascii="Arial" w:hAnsi="Arial" w:cs="Arial"/>
                <w:color w:val="17365D"/>
                <w:sz w:val="20"/>
                <w:szCs w:val="20"/>
              </w:rPr>
              <w:t>Ко</w:t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>нсультант</w:t>
            </w:r>
            <w:r w:rsidR="00FB6155">
              <w:rPr>
                <w:rFonts w:ascii="Arial" w:hAnsi="Arial" w:cs="Arial"/>
                <w:color w:val="17365D"/>
                <w:sz w:val="20"/>
                <w:szCs w:val="20"/>
              </w:rPr>
              <w:t xml:space="preserve"> по охран</w:t>
            </w:r>
            <w:r w:rsidR="00DC22D8">
              <w:rPr>
                <w:rFonts w:ascii="Arial" w:hAnsi="Arial" w:cs="Arial"/>
                <w:color w:val="17365D"/>
                <w:sz w:val="20"/>
                <w:szCs w:val="20"/>
              </w:rPr>
              <w:t>е</w:t>
            </w:r>
            <w:bookmarkStart w:id="0" w:name="_GoBack"/>
            <w:bookmarkEnd w:id="0"/>
            <w:r w:rsidR="00FB6155">
              <w:rPr>
                <w:rFonts w:ascii="Arial" w:hAnsi="Arial" w:cs="Arial"/>
                <w:color w:val="17365D"/>
                <w:sz w:val="20"/>
                <w:szCs w:val="20"/>
              </w:rPr>
              <w:t xml:space="preserve"> здоровья подростков</w:t>
            </w:r>
          </w:p>
        </w:tc>
      </w:tr>
      <w:tr w:rsidR="00262C46"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Уровень задания: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b/>
                <w:color w:val="17365D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национальный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 w:rsidR="00B82514">
              <w:fldChar w:fldCharType="separate"/>
            </w:r>
            <w:bookmarkStart w:id="1" w:name="__Fieldmark__79_668570912"/>
            <w:bookmarkEnd w:id="1"/>
            <w: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  международный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82514">
              <w:fldChar w:fldCharType="separate"/>
            </w:r>
            <w:bookmarkStart w:id="2" w:name="__Fieldmark__84_668570912"/>
            <w:bookmarkEnd w:id="2"/>
            <w: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 </w:t>
            </w:r>
            <w:r>
              <w:rPr>
                <w:b/>
                <w:color w:val="17365D"/>
              </w:rPr>
              <w:t xml:space="preserve"> </w:t>
            </w:r>
          </w:p>
        </w:tc>
      </w:tr>
      <w:tr w:rsidR="00262C46"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Вид контракта: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b/>
                <w:color w:val="17365D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консультант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 w:rsidR="00B82514">
              <w:fldChar w:fldCharType="separate"/>
            </w:r>
            <w:bookmarkStart w:id="3" w:name="__Fieldmark__90_668570912"/>
            <w:bookmarkEnd w:id="3"/>
            <w:r>
              <w:fldChar w:fldCharType="end"/>
            </w:r>
            <w:r>
              <w:rPr>
                <w:color w:val="17365D"/>
                <w:sz w:val="20"/>
                <w:szCs w:val="20"/>
              </w:rPr>
              <w:t xml:space="preserve">   индивидуальный подрядчик</w:t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 </w:t>
            </w:r>
            <w:bookmarkStart w:id="4" w:name="__Fieldmark__759_668570912"/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</w:t>
            </w:r>
            <w:r>
              <w:fldChar w:fldCharType="begin"/>
            </w:r>
            <w:bookmarkEnd w:id="4"/>
            <w:r>
              <w:fldChar w:fldCharType="separate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</w:t>
            </w:r>
            <w: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>организация</w:t>
            </w:r>
            <w:r>
              <w:rPr>
                <w:b/>
                <w:color w:val="17365D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82514">
              <w:fldChar w:fldCharType="separate"/>
            </w:r>
            <w:bookmarkStart w:id="5" w:name="__Fieldmark__98_668570912"/>
            <w:bookmarkEnd w:id="5"/>
            <w:r>
              <w:fldChar w:fldCharType="end"/>
            </w:r>
          </w:p>
        </w:tc>
      </w:tr>
      <w:tr w:rsidR="00262C46"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Метод отбора: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Конкурс </w:t>
            </w:r>
            <w:r>
              <w:rPr>
                <w:color w:val="17365D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 w:rsidR="00B82514">
              <w:fldChar w:fldCharType="separate"/>
            </w:r>
            <w:bookmarkStart w:id="6" w:name="__Fieldmark__103_668570912"/>
            <w:bookmarkEnd w:id="6"/>
            <w:r>
              <w:fldChar w:fldCharType="end"/>
            </w:r>
            <w:r>
              <w:rPr>
                <w:color w:val="17365D"/>
                <w:sz w:val="20"/>
                <w:szCs w:val="20"/>
              </w:rPr>
              <w:t xml:space="preserve">  единый источник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82514">
              <w:fldChar w:fldCharType="separate"/>
            </w:r>
            <w:bookmarkStart w:id="7" w:name="__Fieldmark__108_668570912"/>
            <w:bookmarkEnd w:id="7"/>
            <w:r>
              <w:fldChar w:fldCharType="end"/>
            </w:r>
            <w:r>
              <w:rPr>
                <w:color w:val="17365D"/>
                <w:sz w:val="20"/>
                <w:szCs w:val="20"/>
              </w:rPr>
              <w:t xml:space="preserve"> </w:t>
            </w:r>
          </w:p>
        </w:tc>
      </w:tr>
      <w:tr w:rsidR="00262C46"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Продолжительность задания: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10" w:type="dxa"/>
            </w:tcMar>
            <w:vAlign w:val="center"/>
          </w:tcPr>
          <w:p w:rsidR="00262C46" w:rsidRDefault="00FB6155">
            <w:pPr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9 месяцев: июнь 2017 г. - февраль 2018 г.  </w:t>
            </w:r>
          </w:p>
        </w:tc>
      </w:tr>
    </w:tbl>
    <w:p w:rsidR="00262C46" w:rsidRDefault="00262C46">
      <w:pPr>
        <w:jc w:val="both"/>
        <w:rPr>
          <w:b/>
        </w:rPr>
      </w:pPr>
    </w:p>
    <w:p w:rsidR="00262C46" w:rsidRDefault="00FB6155">
      <w:pPr>
        <w:shd w:val="clear" w:color="auto" w:fill="0000FF"/>
        <w:ind w:firstLine="426"/>
        <w:jc w:val="both"/>
        <w:rPr>
          <w:b/>
        </w:rPr>
      </w:pPr>
      <w:r>
        <w:rPr>
          <w:b/>
        </w:rPr>
        <w:t>ОБЩАЯ ИНФОРМАЦИЯ:</w:t>
      </w:r>
    </w:p>
    <w:p w:rsidR="00262C46" w:rsidRDefault="00262C46">
      <w:pPr>
        <w:jc w:val="both"/>
      </w:pPr>
    </w:p>
    <w:p w:rsidR="00262C46" w:rsidRDefault="00FB6155">
      <w:pPr>
        <w:spacing w:line="276" w:lineRule="auto"/>
        <w:jc w:val="both"/>
      </w:pPr>
      <w:r>
        <w:t>C учетом национальных приоритетов, целей устойчивого развития и сравнительных преимуществ ЮНИСЕФ, представительство ЮНИСЕФ в КР недавно провело ситуационный анализ в отношении детей в Кыргызстане, внешнюю оценку текущей страновой программы, а также гендерный анализ программ в целях получения необходимой информации для подготовки новой страновой программы. В ходе данной работы вопросы охраны здоровья и благополучия подростков были определены в качестве одних из ключевых приоритетов ЮНИСЕФ на последующие 5 лет.</w:t>
      </w:r>
    </w:p>
    <w:p w:rsidR="00262C46" w:rsidRDefault="00FB6155">
      <w:pPr>
        <w:spacing w:line="276" w:lineRule="auto"/>
        <w:jc w:val="both"/>
        <w:rPr>
          <w:bCs/>
        </w:rPr>
      </w:pPr>
      <w:r>
        <w:rPr>
          <w:bCs/>
        </w:rPr>
        <w:t>Доля молодежи в Кыргызстане в общем населении страны достаточно высокая: подростки (10-19 лет) составляют 1/5 населения страны и более половины населения в возрасте до 25 лет. Большинство из них проживают в сельской местности с ограниченным доступом к услугам здравоохранения, образования, социальным услугам и культурно-оздоровительным мероприятиям.</w:t>
      </w:r>
      <w:r>
        <w:rPr>
          <w:rStyle w:val="a3"/>
          <w:bCs/>
        </w:rPr>
        <w:footnoteReference w:id="1"/>
      </w:r>
      <w:r>
        <w:rPr>
          <w:bCs/>
        </w:rPr>
        <w:t xml:space="preserve"> Инвестиции в сфере охраны здоровья новорожденных и детей до 5 лет в последние годы позволили увеличить выживаемость детей в Кыргызстане. Но до сих пор вопросы охраны здоровья подростков не были обозначены в качестве приоритета в национальных программах. Снижение уровня детской смертности позволяет теперь сделать акцент на вопросах охраны здоровья подростков для обеспечения устойчивости прогресса, достигнутого в раннем детстве, на протяжении второго десятилетия жизни до зрелого возраста. </w:t>
      </w:r>
    </w:p>
    <w:p w:rsidR="00262C46" w:rsidRDefault="00FB6155">
      <w:pPr>
        <w:spacing w:line="276" w:lineRule="auto"/>
        <w:jc w:val="both"/>
      </w:pPr>
      <w:r>
        <w:t>Осведомленность девушек касательно ВИЧ хуже, чем у женщин старшего возраста. Согласно результатам кластерного исследования по множеству показателей (МИКС) за 2014 г., более 90%  молодых женщин в возрасте 25-29 лет знают, где можно сдать тест на ВИЧ и только 43% девушек в возрасте 15-19 лет где можно сделать этот анализ. Также, 22% женщин старшего возраста имеют обширный уровень знания о ВИЧ, в то время как только 17% девушек демонстрируют такой уровень знаний. Исчерпывающие знания о передаче ВИЧ от матери ребенку продемонстрировали 65% молодых женщин и 50% девушек соответственно.</w:t>
      </w:r>
      <w:r>
        <w:rPr>
          <w:rStyle w:val="a3"/>
        </w:rPr>
        <w:footnoteReference w:id="2"/>
      </w:r>
      <w:r>
        <w:t xml:space="preserve"> Учитывая тенденцию увеличения родов среди девушек, низкий уровень знаний о способах заражения ВИЧ повышает риск передачи инфекции от матери ребенку. </w:t>
      </w:r>
    </w:p>
    <w:p w:rsidR="00262C46" w:rsidRDefault="00FB6155">
      <w:pPr>
        <w:spacing w:line="276" w:lineRule="auto"/>
        <w:jc w:val="both"/>
        <w:rPr>
          <w:rStyle w:val="a3"/>
        </w:rPr>
      </w:pPr>
      <w:r>
        <w:rPr>
          <w:b/>
        </w:rPr>
        <w:t xml:space="preserve">Уровень бедности </w:t>
      </w:r>
      <w:r>
        <w:t>достаточно высокий среди подростков и молодежи в Кыргызстане. Уровень бедности увеличился за последние годы почти на 40% среди молодых людей в возрасте 14-18 лет за период 2009-2013.</w:t>
      </w:r>
      <w:r>
        <w:rPr>
          <w:rStyle w:val="a3"/>
        </w:rPr>
        <w:footnoteReference w:id="3"/>
      </w:r>
    </w:p>
    <w:p w:rsidR="00262C46" w:rsidRDefault="00FB6155">
      <w:pPr>
        <w:spacing w:line="276" w:lineRule="auto"/>
        <w:jc w:val="both"/>
        <w:rPr>
          <w:color w:val="222E3B"/>
          <w:shd w:val="clear" w:color="auto" w:fill="FFFFFF"/>
        </w:rPr>
      </w:pPr>
      <w:r>
        <w:rPr>
          <w:color w:val="000000"/>
        </w:rPr>
        <w:t xml:space="preserve">В целях усиления компонента создания базы данных по уязвимости подростков и школьников, ЮНИСЕФ в КР планирует присоединиться к инициативе «Отношение к здоровью среди школьников» - это национальное исследование, проводимое ВОЗ. В ходе данного исследования </w:t>
      </w:r>
      <w:r>
        <w:rPr>
          <w:color w:val="000000"/>
        </w:rPr>
        <w:lastRenderedPageBreak/>
        <w:t>собираются данные по состоянию здоровья, благополучия, социальной среде и отношению к собственному здоровью мальчиков и девочек каждые 4 года в возрасте 11, 13, 15 лет.</w:t>
      </w:r>
      <w:r>
        <w:rPr>
          <w:color w:val="222E3B"/>
          <w:shd w:val="clear" w:color="auto" w:fill="FFFFFF"/>
        </w:rPr>
        <w:t xml:space="preserve"> </w:t>
      </w:r>
    </w:p>
    <w:p w:rsidR="00262C46" w:rsidRDefault="00FB6155">
      <w:pPr>
        <w:spacing w:line="276" w:lineRule="auto"/>
        <w:jc w:val="both"/>
      </w:pPr>
      <w:r>
        <w:t>В соответствии с Целями устойчивого развития и Глобальной стратегией по вопросам здравоохранения женщин, детей и молодежи</w:t>
      </w:r>
      <w:r>
        <w:rPr>
          <w:bCs/>
        </w:rPr>
        <w:t xml:space="preserve"> (EWECA)</w:t>
      </w:r>
      <w:r>
        <w:rPr>
          <w:rStyle w:val="a3"/>
          <w:bCs/>
        </w:rPr>
        <w:footnoteReference w:id="4"/>
      </w:r>
      <w:r>
        <w:rPr>
          <w:bCs/>
        </w:rPr>
        <w:t xml:space="preserve">, новая </w:t>
      </w:r>
      <w:r>
        <w:rPr>
          <w:b/>
          <w:bCs/>
        </w:rPr>
        <w:t>стратегия ЮНИСЕФ по охране здоровья на 2016-2030 гг.</w:t>
      </w:r>
      <w:r>
        <w:t xml:space="preserve"> обозначает подростков как одну из приоритетных групп целевого населения и направлена на решение ключевых вопросов охраны их здоровья посредством отстаивания прав подростков на здоровье, оказания воздействия на политику правительства, усиления предоставления услуг, расширения возможностей сообществ, включая подростков. Охрана здоровья подростков — одна из ключевых сфер </w:t>
      </w:r>
      <w:r>
        <w:rPr>
          <w:b/>
          <w:bCs/>
        </w:rPr>
        <w:t>межотраслевых программ для подростков</w:t>
      </w:r>
      <w:r>
        <w:t xml:space="preserve"> наряду со средним образованием, безопасностью и защитой мальчиков и девочек, вовлечением подростков, сбором данных и мониторингом. Под руководством Секции «Развитие и участие подростков» штаб-квартиры ЮНИСЕФ разрабатывается межотраслевое программное руководство, в рамках которого могут получить поддержку страновые представительства Фонда для усиления программ в области охраны здоровья, благополучия и развития подростков. </w:t>
      </w:r>
    </w:p>
    <w:p w:rsidR="00262C46" w:rsidRDefault="00262C46">
      <w:pPr>
        <w:jc w:val="both"/>
        <w:rPr>
          <w:color w:val="000000"/>
          <w:sz w:val="27"/>
          <w:szCs w:val="27"/>
        </w:rPr>
      </w:pPr>
    </w:p>
    <w:p w:rsidR="00262C46" w:rsidRDefault="00FB6155">
      <w:pPr>
        <w:shd w:val="clear" w:color="auto" w:fill="0000FF"/>
        <w:jc w:val="both"/>
        <w:rPr>
          <w:b/>
        </w:rPr>
      </w:pPr>
      <w:r>
        <w:rPr>
          <w:b/>
        </w:rPr>
        <w:t xml:space="preserve">МАСШТАБ РАБОТЫ </w:t>
      </w:r>
    </w:p>
    <w:p w:rsidR="00262C46" w:rsidRDefault="00262C46"/>
    <w:p w:rsidR="00262C46" w:rsidRDefault="00FB6155">
      <w:pPr>
        <w:spacing w:line="276" w:lineRule="auto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В соответствии с мероприятиями скользящего графика работы на 2016-2017 гг. в рамках </w:t>
      </w:r>
    </w:p>
    <w:p w:rsidR="00262C46" w:rsidRDefault="00FB6155">
      <w:pPr>
        <w:pStyle w:val="ListParagraph"/>
        <w:spacing w:line="276" w:lineRule="auto"/>
        <w:jc w:val="both"/>
        <w:rPr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А. Результата 1</w:t>
      </w:r>
      <w:r>
        <w:rPr>
          <w:bCs/>
          <w:color w:val="000000"/>
          <w:szCs w:val="22"/>
        </w:rPr>
        <w:t xml:space="preserve">: наличие равноправных, качественных и отзывчивых систем для детей: в рамках промежуточного результата  1.1.1 </w:t>
      </w:r>
    </w:p>
    <w:p w:rsidR="00262C46" w:rsidRDefault="00FB6155">
      <w:pPr>
        <w:pStyle w:val="ListParagraph"/>
        <w:spacing w:line="276" w:lineRule="auto"/>
        <w:jc w:val="both"/>
        <w:rPr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Б. Результата  2</w:t>
      </w:r>
      <w:r>
        <w:rPr>
          <w:bCs/>
          <w:color w:val="000000"/>
          <w:szCs w:val="22"/>
        </w:rPr>
        <w:t xml:space="preserve">: увеличение доступа к качественным социальным услугам в рамках промежуточных результатов 2.1.2 и 2.1.4 </w:t>
      </w:r>
    </w:p>
    <w:p w:rsidR="00262C46" w:rsidRDefault="00FB6155">
      <w:pPr>
        <w:spacing w:line="276" w:lineRule="auto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планируется предоставить поддержку Министерству здравоохранения и медицинским учреждениям в оптимизации системы здравоохранения и увеличения доступа к качественным услугам здравоохранения для уязвимых женщин и детей посредством:</w:t>
      </w:r>
    </w:p>
    <w:p w:rsidR="00262C46" w:rsidRDefault="00FB6155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анализа, поддержки и разработки стратегических программных направлений;</w:t>
      </w:r>
    </w:p>
    <w:p w:rsidR="00262C46" w:rsidRDefault="00FB6155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определения приоритетности доказательных вмешательств; </w:t>
      </w:r>
    </w:p>
    <w:p w:rsidR="00262C46" w:rsidRDefault="00FB6155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улучшение знаний и навыков медицинских работников в области предоставления качественных медицинских услуг матери, детям, подросткам на основании доказательных подходов в соответствии со стандартами и протоколами;</w:t>
      </w:r>
    </w:p>
    <w:p w:rsidR="00262C46" w:rsidRDefault="00FB6155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интегрированного мониторинга, наставничества и надзора;</w:t>
      </w:r>
    </w:p>
    <w:p w:rsidR="00262C46" w:rsidRDefault="00FB6155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работы с сообществами для повышения осведомленности по вопросам здоровья матерей, детей и подростков.</w:t>
      </w:r>
    </w:p>
    <w:p w:rsidR="00262C46" w:rsidRDefault="00262C46">
      <w:pPr>
        <w:jc w:val="both"/>
        <w:rPr>
          <w:bCs/>
          <w:color w:val="000000"/>
          <w:sz w:val="22"/>
          <w:szCs w:val="22"/>
        </w:rPr>
      </w:pPr>
    </w:p>
    <w:p w:rsidR="00262C46" w:rsidRDefault="00FB6155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Задача консультанта заключается в:</w:t>
      </w:r>
    </w:p>
    <w:p w:rsidR="00262C46" w:rsidRDefault="00262C46">
      <w:pPr>
        <w:jc w:val="both"/>
        <w:rPr>
          <w:bCs/>
          <w:color w:val="000000"/>
          <w:sz w:val="22"/>
          <w:szCs w:val="22"/>
        </w:rPr>
      </w:pPr>
    </w:p>
    <w:p w:rsidR="00262C46" w:rsidRDefault="00FB6155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предоставлении технической поддержки рабочим группам Министерства здравоохранения, разрабатывающих механизмы и подходы улучшения доступа к качественным медицинским услугам для уязвимых подростков.</w:t>
      </w:r>
    </w:p>
    <w:p w:rsidR="00262C46" w:rsidRDefault="00FB6155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</w:t>
      </w:r>
    </w:p>
    <w:p w:rsidR="00262C46" w:rsidRDefault="00FB6155">
      <w:pPr>
        <w:jc w:val="both"/>
        <w:rPr>
          <w:b/>
          <w:szCs w:val="22"/>
        </w:rPr>
      </w:pPr>
      <w:r>
        <w:rPr>
          <w:b/>
          <w:szCs w:val="22"/>
        </w:rPr>
        <w:t>Под руководством специалистов ЮНИСЕФ (специалиста по программам в области здравоохранения в качестве основного руководителя, специалиста программы ВИЧ в качестве второго руководителя) консультант должен будет выполнять следующие задачи:</w:t>
      </w:r>
    </w:p>
    <w:p w:rsidR="00262C46" w:rsidRDefault="00262C46">
      <w:pPr>
        <w:jc w:val="both"/>
        <w:rPr>
          <w:b/>
          <w:szCs w:val="22"/>
        </w:rPr>
      </w:pPr>
    </w:p>
    <w:p w:rsidR="00262C46" w:rsidRDefault="00FB6155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Подготовка ежемесячных сообщений о ходе выполнения работ (в соответствии с нижеследующим перечнем практических результатов) с указанием предпринятых действий, </w:t>
      </w:r>
      <w:r>
        <w:rPr>
          <w:szCs w:val="22"/>
        </w:rPr>
        <w:lastRenderedPageBreak/>
        <w:t>описанием возникших трудностей и возможных способов их решения;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Предоставление имеющихся мировых сведений, участие во встречах по вопросам, связанным с доступом к медицинским услугам для женщин и детей;</w:t>
      </w:r>
    </w:p>
    <w:p w:rsidR="00262C46" w:rsidRDefault="00FB6155">
      <w:pPr>
        <w:pStyle w:val="ListParagraph"/>
        <w:numPr>
          <w:ilvl w:val="0"/>
          <w:numId w:val="2"/>
        </w:numPr>
        <w:contextualSpacing/>
        <w:jc w:val="both"/>
        <w:rPr>
          <w:szCs w:val="22"/>
        </w:rPr>
      </w:pPr>
      <w:r>
        <w:rPr>
          <w:szCs w:val="22"/>
        </w:rPr>
        <w:t>Взаимодействие и согласование действий с партнерами, работающими на национальном, региональном и местном уровнях системы здравоохранения;</w:t>
      </w:r>
    </w:p>
    <w:p w:rsidR="00262C46" w:rsidRDefault="00FB6155">
      <w:pPr>
        <w:pStyle w:val="ListParagraph"/>
        <w:numPr>
          <w:ilvl w:val="0"/>
          <w:numId w:val="2"/>
        </w:numPr>
        <w:contextualSpacing/>
        <w:jc w:val="both"/>
        <w:rPr>
          <w:color w:val="000000"/>
          <w:szCs w:val="22"/>
        </w:rPr>
      </w:pPr>
      <w:r>
        <w:rPr>
          <w:szCs w:val="22"/>
        </w:rPr>
        <w:t>Организация консультаций и встреч с вовлеченными сторонами для обсуждения приоритетных сфер и вмешательств для улучшения качества предоставляемых услуг подросткам;</w:t>
      </w:r>
      <w:r>
        <w:rPr>
          <w:color w:val="000000"/>
          <w:szCs w:val="22"/>
        </w:rPr>
        <w:t xml:space="preserve"> 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Предоставление поддержки Министерству здравоохранения в подготовке  a) визитов международных консультантов/тренеров; б) раздаточных и учебных материалов; в) других мероприятий;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Качественное выполнение поставленных задач при тесном сотрудничестве с партнерами;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Регулярный аналитический обзор имеющихся статистических данных, отчетов и документов вовлеченных сторон, встречи с партнерами для достижения поставленных задач;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Предоставление технического содействия партнерам в подготовке учебных материалов и пособий по мониторингу, отчетов и материалов по программе, а также повышение уровня осведомленности населения и освещение деятельности в СМИ;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Наставничество и посещение пилотных площадок;</w:t>
      </w:r>
    </w:p>
    <w:p w:rsidR="00262C46" w:rsidRDefault="00FB6155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Cs w:val="22"/>
        </w:rPr>
      </w:pPr>
      <w:r>
        <w:rPr>
          <w:szCs w:val="22"/>
        </w:rPr>
        <w:t>Обеспечение вовлечения подростков, поддержание интереса подростков, вовлечение гражданского общества, уязвимых сообществ, общинных групп в разработке политики, планировании стратегических программ и в процессе принятия решений;</w:t>
      </w:r>
      <w:r>
        <w:rPr>
          <w:color w:val="000000"/>
          <w:szCs w:val="22"/>
        </w:rPr>
        <w:t xml:space="preserve"> 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Упор на разработку комплексного и устойчивого мониторинга в области здравоохранения подростков;</w:t>
      </w:r>
    </w:p>
    <w:p w:rsidR="00262C46" w:rsidRDefault="00FB615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Вся подготовительная и организационная работа должна проводиться во время и качественным образом, вся деятельность и выполнение задач должны соответствовать проектному плану. </w:t>
      </w:r>
    </w:p>
    <w:p w:rsidR="00262C46" w:rsidRDefault="00262C46">
      <w:pPr>
        <w:jc w:val="both"/>
      </w:pPr>
    </w:p>
    <w:p w:rsidR="00262C46" w:rsidRPr="00332AF0" w:rsidRDefault="00FB6155">
      <w:pPr>
        <w:shd w:val="clear" w:color="auto" w:fill="0000FF"/>
        <w:jc w:val="both"/>
        <w:rPr>
          <w:b/>
        </w:rPr>
      </w:pPr>
      <w:r w:rsidRPr="00332AF0">
        <w:rPr>
          <w:b/>
        </w:rPr>
        <w:t>ОТЧЕТНОСТЬ</w:t>
      </w:r>
    </w:p>
    <w:p w:rsidR="00262C46" w:rsidRDefault="00262C46">
      <w:pPr>
        <w:shd w:val="clear" w:color="auto" w:fill="FFFFFF"/>
        <w:jc w:val="both"/>
        <w:outlineLvl w:val="1"/>
        <w:rPr>
          <w:b/>
        </w:rPr>
      </w:pPr>
    </w:p>
    <w:p w:rsidR="00262C46" w:rsidRDefault="00FB6155">
      <w:p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Консультант будет вплотную работать со специалистом программ в области здравоохранения, со специалистом программы ВИЧ, секцией «Здравоохранение и питание» в представительстве ЮНИСЕФ в КР</w:t>
      </w:r>
      <w:r>
        <w:rPr>
          <w:szCs w:val="22"/>
        </w:rPr>
        <w:t xml:space="preserve">.   </w:t>
      </w:r>
      <w:r>
        <w:rPr>
          <w:rFonts w:eastAsia="Calibri"/>
          <w:szCs w:val="22"/>
          <w:lang w:eastAsia="sr-Latn-CS"/>
        </w:rPr>
        <w:t xml:space="preserve"> </w:t>
      </w:r>
    </w:p>
    <w:p w:rsidR="00262C46" w:rsidRDefault="00262C46">
      <w:pPr>
        <w:spacing w:line="276" w:lineRule="auto"/>
        <w:jc w:val="both"/>
        <w:rPr>
          <w:rFonts w:eastAsia="Calibri"/>
          <w:szCs w:val="22"/>
          <w:lang w:eastAsia="sr-Latn-CS"/>
        </w:rPr>
      </w:pPr>
    </w:p>
    <w:p w:rsidR="00262C46" w:rsidRDefault="00FB6155">
      <w:p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После того как консультант будет отобран для выполнения данного задания, консультант должен будет предоставить календарный план с подробным описанием деятельности в запланированный период времени</w:t>
      </w:r>
      <w:r>
        <w:rPr>
          <w:szCs w:val="22"/>
        </w:rPr>
        <w:t>. Отчеты по запланированной деятельности и ожидаемым результатам должны предоставляться ежеквартально. Повествовательные отчеты должны предоставляться ежемесячно, итоговый отчет должен быть предоставлен к моменту истечения срока контракта или же в другой период по согласованию с ЮНИСЕФ. Основной руководитель будет поддерживать регулярную связь с консультантом, а также будет предоставлять формы отчетов, давать комментарии и наставления относительно выполнения данного задания или другую необходимую поддержку для достижения поставленных целей. Руководитель должен быть в курсе возникающих вопросов в связи с работой консультанта и качеством выполняемой работы</w:t>
      </w:r>
      <w:r>
        <w:rPr>
          <w:rFonts w:eastAsia="Calibri"/>
          <w:szCs w:val="22"/>
          <w:lang w:eastAsia="sr-Latn-CS"/>
        </w:rPr>
        <w:t xml:space="preserve">. </w:t>
      </w:r>
    </w:p>
    <w:p w:rsidR="00262C46" w:rsidRDefault="00262C46">
      <w:pPr>
        <w:jc w:val="both"/>
        <w:rPr>
          <w:rFonts w:eastAsia="Calibri"/>
          <w:lang w:eastAsia="sr-Latn-CS"/>
        </w:rPr>
      </w:pPr>
    </w:p>
    <w:p w:rsidR="00262C46" w:rsidRPr="00332AF0" w:rsidRDefault="00FB6155">
      <w:pPr>
        <w:shd w:val="clear" w:color="auto" w:fill="0000FF"/>
        <w:jc w:val="both"/>
        <w:rPr>
          <w:b/>
        </w:rPr>
      </w:pPr>
      <w:r w:rsidRPr="00332AF0">
        <w:rPr>
          <w:b/>
        </w:rPr>
        <w:t>ПРАКТИЧЕСКИЕ РЕЗУЛЬТАТЫ</w:t>
      </w:r>
    </w:p>
    <w:p w:rsidR="00262C46" w:rsidRDefault="00262C46">
      <w:pPr>
        <w:widowControl w:val="0"/>
        <w:tabs>
          <w:tab w:val="left" w:pos="567"/>
        </w:tabs>
        <w:spacing w:after="120"/>
        <w:jc w:val="both"/>
        <w:rPr>
          <w:b/>
        </w:rPr>
      </w:pPr>
    </w:p>
    <w:p w:rsidR="00262C46" w:rsidRDefault="00FB6155">
      <w:pPr>
        <w:widowControl w:val="0"/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>Результат 1, июнь 2017 г.:</w:t>
      </w:r>
    </w:p>
    <w:p w:rsidR="00262C46" w:rsidRDefault="00FB6155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pacing w:after="120"/>
        <w:jc w:val="both"/>
      </w:pPr>
      <w:r>
        <w:t>проведение встреч, обзоров, анализ существующей документации в области социально-</w:t>
      </w:r>
      <w:r>
        <w:lastRenderedPageBreak/>
        <w:t>психологической поддержки детей с ВИЧ, включая раскрытие информации об их ВИЧ-статусе. Результаты данной работы должны быть отражены в отчете;</w:t>
      </w:r>
    </w:p>
    <w:p w:rsidR="00262C46" w:rsidRDefault="00FB6155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pacing w:after="120"/>
        <w:jc w:val="both"/>
      </w:pPr>
      <w:r>
        <w:t>предоставление поддержки в отборе участников тренинга Детской ВИЧ Ассоциации, которая будет проводиться региональным офисом ЮНИСЕФ по предоставлению социально-психологической поддержки детям, живущим с ВИЧ. Отбор кандидатов должен осуществляться в тесном сотрудничестве с Министерством здравоохранения на основе совместно разработанных критериев;</w:t>
      </w:r>
    </w:p>
    <w:p w:rsidR="00262C46" w:rsidRDefault="00FB6155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pacing w:after="120"/>
        <w:jc w:val="both"/>
      </w:pPr>
      <w:r>
        <w:t>проведение встреч, обзоров, анализ существующей документации по уязвимым подросткам и подросткам в группе риска ВИЧ. Результаты данной работы должны быть отражены в первом предварительном отчете;</w:t>
      </w:r>
    </w:p>
    <w:p w:rsidR="00262C46" w:rsidRDefault="00FB6155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120"/>
        <w:jc w:val="both"/>
      </w:pPr>
      <w:r>
        <w:t>на основании результатов обзоров, встреч с партнерами зафиксировать отношения и подходы к уязвимым подросткам в целях предоставления профилактических услуг. Следует кратко расписать все потенциальные подходы охвата уязвимых подростков.</w:t>
      </w:r>
    </w:p>
    <w:p w:rsidR="00262C46" w:rsidRDefault="00FB6155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120"/>
        <w:jc w:val="both"/>
      </w:pPr>
      <w:r>
        <w:t>Предоставление поддержки в отборе участников для прохождения тренинга ПЕНТА, проводимого региональным офисом ЮНИСЕФ, по вопросам предоставления медицинского лечения и ухода для детей и подростков, живущих с ВИЧ. Отбор кандидатов должен осуществляться совместно с Министерством здравоохранения на основании совместно разработанных критериев;</w:t>
      </w:r>
    </w:p>
    <w:p w:rsidR="00262C46" w:rsidRDefault="00FB6155">
      <w:pPr>
        <w:spacing w:after="200" w:line="276" w:lineRule="auto"/>
        <w:contextualSpacing/>
        <w:rPr>
          <w:b/>
        </w:rPr>
      </w:pPr>
      <w:r>
        <w:rPr>
          <w:b/>
        </w:rPr>
        <w:t>Результат 2, июль 2017 г. :</w:t>
      </w:r>
    </w:p>
    <w:p w:rsidR="00262C46" w:rsidRDefault="00FB615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В результате участия во встречах межведомственной рабочей группы по вопросам охраны здоровья подростков обозначить имеющихся партнеров, обладающих необходимым потенциалом, для вовлечения в процесс документирования различных подходов для охвата уязвимых подростков, включая партнеров из сферы здравоохранения и других сфер.</w:t>
      </w:r>
    </w:p>
    <w:p w:rsidR="00262C46" w:rsidRDefault="00FB615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Участвуя в работе рабочей группы Министерства здравоохранения, консультант должен внести вклад в разработку протокола исследования и инструментария в сфере охраны здоровья подростков, которое будет проводиться для выявления уровня осведомленности, действий и потребностей подростков в Кыргызстане;</w:t>
      </w:r>
    </w:p>
    <w:p w:rsidR="00262C46" w:rsidRDefault="00FB615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принять участие в разработке совместной программы с отобранным партнером по выявлению и оценке нужд уязвимых подростков, а также подростков, подвергающихся наивысшему риску инфицирования ВИЧ в отобранных районах Кыргызской Республики;</w:t>
      </w:r>
    </w:p>
    <w:p w:rsidR="00262C46" w:rsidRDefault="00FB615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Регулярное участие в межотраслевых встречах по вопросам охраны здоровья подростков;</w:t>
      </w:r>
    </w:p>
    <w:p w:rsidR="00262C46" w:rsidRDefault="00262C46">
      <w:pPr>
        <w:pStyle w:val="ListParagraph"/>
        <w:jc w:val="both"/>
        <w:rPr>
          <w:color w:val="000000"/>
        </w:rPr>
      </w:pPr>
    </w:p>
    <w:p w:rsidR="00262C46" w:rsidRDefault="00FB6155">
      <w:pPr>
        <w:widowControl w:val="0"/>
        <w:tabs>
          <w:tab w:val="left" w:pos="567"/>
          <w:tab w:val="left" w:pos="9095"/>
        </w:tabs>
        <w:spacing w:after="120"/>
        <w:jc w:val="both"/>
        <w:rPr>
          <w:b/>
        </w:rPr>
      </w:pPr>
      <w:r>
        <w:rPr>
          <w:b/>
        </w:rPr>
        <w:t>Результат 3, август 2017 г.:</w:t>
      </w:r>
    </w:p>
    <w:p w:rsidR="00262C46" w:rsidRDefault="00FB6155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сотрудничество с Министерством здравоохранения по части организации круглого стола с презентацией результатов оценки мер по предотвращению передачи ВИЧ от матери ребенку; предоставление помощи международному консультанту по документированию ранней диагностики ВИЧ у младенцев среди ВИЧ-контактных детей в период с 2013 г. до 2016 г. посредством поддержания связи между консультантом и рабочей группой экспертов Министерства здравоохранения;</w:t>
      </w:r>
    </w:p>
    <w:p w:rsidR="00262C46" w:rsidRDefault="00FB6155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совместно с международным экспертом участие во встрече с партнерами для анализа ситуации в сфере профилактики передачи ВИЧ от матери ребенку;</w:t>
      </w:r>
    </w:p>
    <w:p w:rsidR="00262C46" w:rsidRDefault="00262C46">
      <w:pPr>
        <w:jc w:val="both"/>
        <w:rPr>
          <w:color w:val="000000"/>
        </w:rPr>
      </w:pPr>
    </w:p>
    <w:p w:rsidR="00262C46" w:rsidRDefault="00FB6155">
      <w:pPr>
        <w:widowControl w:val="0"/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>Результат 4, сентябрь 2017 г.:</w:t>
      </w:r>
    </w:p>
    <w:p w:rsidR="00262C46" w:rsidRDefault="00FB6155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>предоставление поддержки рабочей группе Министерства здравоохранения в разработке «Концепции обеспечения доступа к социально-психологической помощи для детей с ВИЧ в Кыргызстане»</w:t>
      </w:r>
    </w:p>
    <w:p w:rsidR="00262C46" w:rsidRDefault="00FB6155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>Предоставление поддержки рабочей группе в организации круглого стола для презентации итогового отчета о проведенной оценке в области предотвращения передачи ВИЧ от матери ребенку.</w:t>
      </w:r>
    </w:p>
    <w:p w:rsidR="00262C46" w:rsidRDefault="00FB6155">
      <w:pPr>
        <w:widowControl w:val="0"/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lastRenderedPageBreak/>
        <w:t>Результат 5, октябрь 2017 г.: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</w:pPr>
      <w:r>
        <w:t>Отстаивание вопросов, связанных с пробелами и препятствиями на пути обеспечения доступа к услугам для уязвимых подростков и подростков, подвергающихся наивысшему риску инфицирования (провести не менее 2 встреч и 1 круглый стол);</w:t>
      </w:r>
    </w:p>
    <w:p w:rsidR="00262C46" w:rsidRDefault="00FB6155">
      <w:pPr>
        <w:widowControl w:val="0"/>
        <w:tabs>
          <w:tab w:val="left" w:pos="567"/>
        </w:tabs>
        <w:spacing w:after="120"/>
        <w:rPr>
          <w:b/>
        </w:rPr>
      </w:pPr>
      <w:r>
        <w:rPr>
          <w:b/>
        </w:rPr>
        <w:t>Результат 6, ноябрь 2017 г.: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</w:pPr>
      <w:r>
        <w:t>Предоставление поддержки в проведении исследования для выявления отношения к здоровью среди школьников;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</w:pPr>
      <w:r>
        <w:t xml:space="preserve">Предоставление рекомендаций и технической поддержки </w:t>
      </w:r>
      <w:r w:rsidRPr="00332AF0">
        <w:rPr>
          <w:shd w:val="clear" w:color="auto" w:fill="FFFF00"/>
        </w:rPr>
        <w:t>программному отделу</w:t>
      </w:r>
      <w:r>
        <w:t xml:space="preserve"> при подготовке итогового отчета по выполненным мероприятиям</w:t>
      </w:r>
    </w:p>
    <w:p w:rsidR="00262C46" w:rsidRDefault="00FB6155">
      <w:pPr>
        <w:widowControl w:val="0"/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>Результат 7, декабрь 2017 г.: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  <w:ind w:left="540"/>
      </w:pPr>
      <w:r>
        <w:t>Поддержка в разработке плана действий, скользящего графика работы ЮНИСЕФ на 2018-2022 гг. в области охраны здоровья подростков и педиатрических случаев СПИДа.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  <w:ind w:left="540"/>
      </w:pPr>
      <w:r>
        <w:t>Предоставление отчета о выполненной работе в 2017 г.</w:t>
      </w:r>
    </w:p>
    <w:p w:rsidR="00262C46" w:rsidRDefault="00FB6155">
      <w:pPr>
        <w:widowControl w:val="0"/>
        <w:tabs>
          <w:tab w:val="left" w:pos="567"/>
        </w:tabs>
        <w:spacing w:after="120"/>
        <w:jc w:val="both"/>
        <w:rPr>
          <w:b/>
          <w:lang w:val="en-US"/>
        </w:rPr>
      </w:pPr>
      <w:r>
        <w:rPr>
          <w:b/>
        </w:rPr>
        <w:t>Результат 8, январь 2018 г.</w:t>
      </w:r>
      <w:r>
        <w:rPr>
          <w:b/>
          <w:lang w:val="en-US"/>
        </w:rPr>
        <w:t>: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</w:pPr>
      <w:r>
        <w:t>Предоставление отчета по обозначенным подходам охвата уязвимых подростков на основе рекомендаций экспертов рабочей группы Министерства здравоохранения</w:t>
      </w:r>
    </w:p>
    <w:p w:rsidR="00262C46" w:rsidRDefault="00262C46">
      <w:pPr>
        <w:widowControl w:val="0"/>
        <w:tabs>
          <w:tab w:val="left" w:pos="567"/>
        </w:tabs>
        <w:spacing w:after="120"/>
        <w:rPr>
          <w:b/>
        </w:rPr>
      </w:pPr>
    </w:p>
    <w:p w:rsidR="00262C46" w:rsidRDefault="00FB6155">
      <w:pPr>
        <w:widowControl w:val="0"/>
        <w:tabs>
          <w:tab w:val="left" w:pos="567"/>
        </w:tabs>
        <w:spacing w:after="120"/>
        <w:rPr>
          <w:b/>
        </w:rPr>
      </w:pPr>
      <w:r>
        <w:rPr>
          <w:b/>
        </w:rPr>
        <w:t>Результат 9, февраль 2018 г.: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</w:pPr>
      <w:r>
        <w:t>Предоставление итоговой концепции и плана по предоставлению социально-психологической поддержки детям с ВИЧ</w:t>
      </w:r>
    </w:p>
    <w:p w:rsidR="00262C46" w:rsidRDefault="00FB6155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after="120"/>
      </w:pPr>
      <w:r>
        <w:t>Подготовка повествовательного отчета с описание основных достижений за период выполнения работы с июня 2017 г. по февраль 2018 г.</w:t>
      </w:r>
    </w:p>
    <w:p w:rsidR="00262C46" w:rsidRDefault="00262C46">
      <w:pPr>
        <w:jc w:val="both"/>
        <w:rPr>
          <w:rFonts w:eastAsia="Calibri"/>
          <w:sz w:val="22"/>
          <w:szCs w:val="22"/>
          <w:lang w:eastAsia="sr-Latn-CS"/>
        </w:rPr>
      </w:pPr>
    </w:p>
    <w:p w:rsidR="00262C46" w:rsidRDefault="00FB6155">
      <w:pPr>
        <w:shd w:val="clear" w:color="auto" w:fill="0000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ПОКАЗАТЕЛИ ЭФФЕКТИВНОСТИ РАБОТЫ  </w:t>
      </w:r>
    </w:p>
    <w:p w:rsidR="00262C46" w:rsidRDefault="00262C46">
      <w:pPr>
        <w:jc w:val="both"/>
        <w:rPr>
          <w:rFonts w:eastAsia="Calibri"/>
          <w:sz w:val="22"/>
          <w:szCs w:val="22"/>
          <w:lang w:eastAsia="sr-Latn-CS"/>
        </w:rPr>
      </w:pPr>
    </w:p>
    <w:p w:rsidR="00262C46" w:rsidRDefault="00FB6155">
      <w:p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Работа консультанта будет оцениваться преимущественно на основании следующих показателей:</w:t>
      </w:r>
    </w:p>
    <w:p w:rsidR="00262C46" w:rsidRDefault="00FB6155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 xml:space="preserve">Выполнение задач и предоставление поставленных результатов. </w:t>
      </w:r>
    </w:p>
    <w:p w:rsidR="00262C46" w:rsidRDefault="00FB6155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Хорошее качество материалов и отчетов, предоставляемых консультантом.</w:t>
      </w:r>
    </w:p>
    <w:p w:rsidR="00262C46" w:rsidRDefault="00FB6155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Инициативность, самостоятельность, добросовестность, своевременность, адекватное поведение и выполнение работ</w:t>
      </w:r>
    </w:p>
    <w:p w:rsidR="00262C46" w:rsidRDefault="00FB6155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Высокие профессиональные стандарты работы с национальными партнерами и представительством ЮНИСЕФ</w:t>
      </w:r>
    </w:p>
    <w:p w:rsidR="00262C46" w:rsidRDefault="00FB6155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Хорошее сотрудничество с государственными учреждениями и ЮНИСЕФ</w:t>
      </w:r>
    </w:p>
    <w:p w:rsidR="00262C46" w:rsidRDefault="00FB6155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2"/>
          <w:lang w:eastAsia="sr-Latn-CS"/>
        </w:rPr>
      </w:pPr>
      <w:r>
        <w:rPr>
          <w:rFonts w:eastAsia="Calibri"/>
          <w:szCs w:val="22"/>
          <w:lang w:eastAsia="sr-Latn-CS"/>
        </w:rPr>
        <w:t>Организованность, умение планировать время для выполнения задач в установленный срок.</w:t>
      </w:r>
    </w:p>
    <w:p w:rsidR="00262C46" w:rsidRDefault="00262C46">
      <w:pPr>
        <w:shd w:val="clear" w:color="auto" w:fill="FFFFFF"/>
        <w:jc w:val="both"/>
        <w:outlineLvl w:val="1"/>
        <w:rPr>
          <w:b/>
          <w:bCs/>
          <w:sz w:val="22"/>
          <w:szCs w:val="22"/>
        </w:rPr>
      </w:pPr>
    </w:p>
    <w:p w:rsidR="00262C46" w:rsidRDefault="00FB6155">
      <w:pPr>
        <w:shd w:val="clear" w:color="auto" w:fill="0000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РАБОТЫ И ПОЕЗДКИ </w:t>
      </w:r>
    </w:p>
    <w:p w:rsidR="00262C46" w:rsidRDefault="00262C46">
      <w:pPr>
        <w:jc w:val="both"/>
      </w:pPr>
    </w:p>
    <w:p w:rsidR="00262C46" w:rsidRDefault="00FB6155">
      <w:pPr>
        <w:shd w:val="clear" w:color="auto" w:fill="FFFFFF"/>
        <w:jc w:val="both"/>
        <w:outlineLvl w:val="0"/>
      </w:pPr>
      <w:r>
        <w:t>г. Бишкек, Кыргызстан, включая поездки в регионы (7 дней всего в Иссык-Кульской области и 12 дней в Ошскую область). Консультант должен указать уровень суточных для поездок в вышеуказанные регионы.</w:t>
      </w:r>
    </w:p>
    <w:p w:rsidR="00262C46" w:rsidRDefault="00262C46">
      <w:pPr>
        <w:shd w:val="clear" w:color="auto" w:fill="FFFFFF"/>
        <w:jc w:val="both"/>
        <w:outlineLvl w:val="1"/>
      </w:pPr>
    </w:p>
    <w:p w:rsidR="00262C46" w:rsidRDefault="00FB6155">
      <w:pPr>
        <w:shd w:val="clear" w:color="auto" w:fill="FFFFFF"/>
        <w:jc w:val="both"/>
        <w:outlineLvl w:val="1"/>
      </w:pPr>
      <w:r>
        <w:t>В случае если ЮНИСЕФ решит, что консультанту следует отправиться в поездку для выполнения задания, данная необходимость должна оговариваться в контракте с указанием дорожных расходов консультанта. Если дорожные расходы не были оговорены в контракте, консультанту следует подать документ на возмещение понесенных расходов менеджеру по операционной деятельности/кадровым вопросам в течение 10 дней после совершения поездки.</w:t>
      </w:r>
    </w:p>
    <w:p w:rsidR="00262C46" w:rsidRDefault="00262C46">
      <w:pPr>
        <w:shd w:val="clear" w:color="auto" w:fill="FFFFFF"/>
        <w:jc w:val="both"/>
        <w:outlineLvl w:val="1"/>
      </w:pPr>
    </w:p>
    <w:p w:rsidR="00262C46" w:rsidRDefault="00FB6155">
      <w:pPr>
        <w:shd w:val="clear" w:color="auto" w:fill="FFFFFF"/>
        <w:jc w:val="both"/>
        <w:outlineLvl w:val="1"/>
      </w:pPr>
      <w:r>
        <w:lastRenderedPageBreak/>
        <w:t>Расходы будут возмещены в случае надлежащего указания данной необходимости в контракте или при наличии авторизации менеджера соответствующего отдела в письменной форме и до поездки. Консультанты и индивидуальные подрядчики несут ответственность за расходы по получению визы и страховки на время поездки.</w:t>
      </w:r>
    </w:p>
    <w:p w:rsidR="00262C46" w:rsidRDefault="00262C46">
      <w:pPr>
        <w:shd w:val="clear" w:color="auto" w:fill="FFFFFF"/>
        <w:jc w:val="both"/>
        <w:outlineLvl w:val="1"/>
      </w:pPr>
    </w:p>
    <w:p w:rsidR="00262C46" w:rsidRDefault="00FB6155">
      <w:pPr>
        <w:shd w:val="clear" w:color="auto" w:fill="FFFFFF"/>
        <w:jc w:val="both"/>
        <w:outlineLvl w:val="1"/>
      </w:pPr>
      <w:r>
        <w:t>Размер суточных высчитывается в соответствии с установленными размерами для данного региона, рекомендованными для сотрудников проектов, местных консультантов, экспертов и национальных партнеров по реализации программ.</w:t>
      </w:r>
    </w:p>
    <w:p w:rsidR="00262C46" w:rsidRDefault="00262C46">
      <w:pPr>
        <w:shd w:val="clear" w:color="auto" w:fill="FFFFFF"/>
        <w:jc w:val="both"/>
        <w:outlineLvl w:val="1"/>
        <w:rPr>
          <w:b/>
          <w:sz w:val="22"/>
          <w:szCs w:val="22"/>
        </w:rPr>
      </w:pPr>
    </w:p>
    <w:p w:rsidR="00262C46" w:rsidRDefault="00FB6155">
      <w:pPr>
        <w:shd w:val="clear" w:color="auto" w:fill="0000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БЮДЖЕТ И ИСТОЧНИКИ ФИНАНСИРОВАНИЯ </w:t>
      </w:r>
    </w:p>
    <w:p w:rsidR="00262C46" w:rsidRDefault="00262C46">
      <w:pPr>
        <w:shd w:val="clear" w:color="auto" w:fill="FFFFFF"/>
        <w:jc w:val="both"/>
        <w:outlineLvl w:val="1"/>
        <w:rPr>
          <w:sz w:val="22"/>
          <w:szCs w:val="22"/>
        </w:rPr>
      </w:pPr>
    </w:p>
    <w:p w:rsidR="00262C46" w:rsidRDefault="00FB6155">
      <w:pPr>
        <w:rPr>
          <w:szCs w:val="22"/>
        </w:rPr>
      </w:pPr>
      <w:r>
        <w:rPr>
          <w:szCs w:val="22"/>
        </w:rPr>
        <w:t xml:space="preserve">Консультант будет отобран по принципу оптимального соотношения цены и качества. </w:t>
      </w:r>
    </w:p>
    <w:p w:rsidR="00262C46" w:rsidRDefault="00FB6155">
      <w:pPr>
        <w:spacing w:before="120"/>
        <w:jc w:val="both"/>
        <w:rPr>
          <w:sz w:val="22"/>
          <w:szCs w:val="22"/>
        </w:rPr>
      </w:pPr>
      <w:r>
        <w:rPr>
          <w:szCs w:val="22"/>
        </w:rPr>
        <w:t>Оплата за выполненную работу будет осуществляться после надлежащего выполнения задач и предоставления указанных результатов</w:t>
      </w:r>
      <w:r>
        <w:rPr>
          <w:sz w:val="22"/>
          <w:szCs w:val="22"/>
        </w:rPr>
        <w:t xml:space="preserve">.  </w:t>
      </w:r>
    </w:p>
    <w:p w:rsidR="00262C46" w:rsidRDefault="00262C46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1"/>
        <w:gridCol w:w="4093"/>
        <w:gridCol w:w="2347"/>
      </w:tblGrid>
      <w:tr w:rsidR="00262C46">
        <w:trPr>
          <w:trHeight w:val="901"/>
        </w:trPr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62C46" w:rsidRDefault="00FB6155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</w:p>
        </w:tc>
        <w:tc>
          <w:tcPr>
            <w:tcW w:w="40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C46" w:rsidRDefault="00FB61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Процент выплаты от суммы контракта  </w:t>
            </w:r>
          </w:p>
        </w:tc>
        <w:tc>
          <w:tcPr>
            <w:tcW w:w="234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62C46" w:rsidRDefault="00FB61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Ожидаемая дата предоставления результата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июня 2017 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июля 2017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августа 2017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сентября 2017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октября 2017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ноября 2017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декабря 2017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января 2018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№9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февраля 2018</w:t>
            </w:r>
          </w:p>
        </w:tc>
      </w:tr>
      <w:tr w:rsidR="00262C46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262C46" w:rsidRDefault="00FB61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62C46" w:rsidRDefault="00FB615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62C46" w:rsidRDefault="00262C46">
      <w:pPr>
        <w:shd w:val="clear" w:color="auto" w:fill="FFFFFF"/>
        <w:jc w:val="both"/>
        <w:outlineLvl w:val="1"/>
        <w:rPr>
          <w:sz w:val="22"/>
          <w:szCs w:val="22"/>
        </w:rPr>
      </w:pPr>
    </w:p>
    <w:p w:rsidR="00262C46" w:rsidRDefault="00262C46">
      <w:pPr>
        <w:shd w:val="clear" w:color="auto" w:fill="FFFFFF"/>
        <w:jc w:val="both"/>
        <w:outlineLvl w:val="1"/>
        <w:rPr>
          <w:sz w:val="22"/>
          <w:szCs w:val="22"/>
        </w:rPr>
      </w:pPr>
    </w:p>
    <w:p w:rsidR="00262C46" w:rsidRDefault="00262C46">
      <w:pPr>
        <w:shd w:val="clear" w:color="auto" w:fill="FFFFFF"/>
        <w:jc w:val="both"/>
        <w:outlineLvl w:val="1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060"/>
      </w:tblGrid>
      <w:tr w:rsidR="00262C46">
        <w:tc>
          <w:tcPr>
            <w:tcW w:w="10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262C46" w:rsidRDefault="00FB6155">
            <w:pPr>
              <w:jc w:val="both"/>
              <w:outlineLvl w:val="1"/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>Источники финансирования (дата истечения срока гранта):</w:t>
            </w:r>
          </w:p>
        </w:tc>
      </w:tr>
      <w:tr w:rsidR="00262C46">
        <w:tc>
          <w:tcPr>
            <w:tcW w:w="10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C46" w:rsidRDefault="00262C46">
            <w:pPr>
              <w:shd w:val="clear" w:color="auto" w:fill="FFFFFF"/>
              <w:jc w:val="both"/>
              <w:outlineLvl w:val="1"/>
              <w:rPr>
                <w:b/>
                <w:sz w:val="22"/>
                <w:szCs w:val="22"/>
              </w:rPr>
            </w:pPr>
          </w:p>
          <w:p w:rsidR="00262C46" w:rsidRDefault="00FB6155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SC160776    </w:t>
            </w:r>
            <w:r>
              <w:rPr>
                <w:sz w:val="22"/>
                <w:szCs w:val="22"/>
              </w:rPr>
              <w:t xml:space="preserve">(дата истечения срока гранта - 31.12.2017) </w:t>
            </w:r>
          </w:p>
          <w:p w:rsidR="00262C46" w:rsidRDefault="00FB6155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SC149902    </w:t>
            </w:r>
            <w:r>
              <w:rPr>
                <w:sz w:val="22"/>
                <w:szCs w:val="22"/>
              </w:rPr>
              <w:t>(дата истечения срока гранта - 31.12.2018)</w:t>
            </w:r>
          </w:p>
          <w:p w:rsidR="00262C46" w:rsidRDefault="00262C46">
            <w:pPr>
              <w:jc w:val="both"/>
              <w:outlineLvl w:val="1"/>
              <w:rPr>
                <w:color w:val="17365D"/>
                <w:sz w:val="22"/>
                <w:szCs w:val="22"/>
              </w:rPr>
            </w:pPr>
          </w:p>
        </w:tc>
      </w:tr>
    </w:tbl>
    <w:p w:rsidR="00262C46" w:rsidRDefault="00262C46">
      <w:pPr>
        <w:shd w:val="clear" w:color="auto" w:fill="FFFFFF"/>
        <w:jc w:val="both"/>
        <w:outlineLvl w:val="1"/>
        <w:rPr>
          <w:b/>
          <w:sz w:val="22"/>
          <w:szCs w:val="22"/>
        </w:rPr>
      </w:pPr>
    </w:p>
    <w:p w:rsidR="00262C46" w:rsidRDefault="00FB6155">
      <w:pPr>
        <w:shd w:val="clear" w:color="auto" w:fill="0000FF"/>
        <w:spacing w:after="6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КВАЛИФИКАЦИОННЫЕ ТРЕБОВАНИЯ</w:t>
      </w:r>
    </w:p>
    <w:p w:rsidR="00262C46" w:rsidRDefault="00262C46">
      <w:pPr>
        <w:ind w:left="720"/>
        <w:jc w:val="both"/>
        <w:rPr>
          <w:sz w:val="22"/>
          <w:szCs w:val="22"/>
        </w:rPr>
      </w:pPr>
    </w:p>
    <w:p w:rsidR="00262C46" w:rsidRDefault="00FB6155">
      <w:pPr>
        <w:spacing w:before="120" w:after="120" w:line="288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Академическая квалификация:</w:t>
      </w:r>
    </w:p>
    <w:p w:rsidR="00262C46" w:rsidRDefault="00FB6155">
      <w:pPr>
        <w:spacing w:before="120" w:after="120" w:line="276" w:lineRule="auto"/>
        <w:jc w:val="both"/>
        <w:rPr>
          <w:szCs w:val="22"/>
        </w:rPr>
      </w:pPr>
      <w:r>
        <w:rPr>
          <w:szCs w:val="22"/>
        </w:rPr>
        <w:t>Для выполнения данного задания потребуется опытный национальный эксперт с большим опытом работы в области охраны здоровья матери и ребенка, в частности в области управления здравоохранением, охраны здоровья детей и подростков, качества медицинских услуг, ВИЧ.</w:t>
      </w:r>
    </w:p>
    <w:p w:rsidR="00262C46" w:rsidRDefault="00262C46">
      <w:pPr>
        <w:spacing w:before="120" w:after="120" w:line="276" w:lineRule="auto"/>
        <w:jc w:val="both"/>
      </w:pP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Высшее педиатрическое образование. 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>Кандидат наук, опыт проведения исследований, в частности в сфере охраны здоровья детей и подростков, обязателен.</w:t>
      </w:r>
    </w:p>
    <w:p w:rsidR="00262C46" w:rsidRDefault="00262C46">
      <w:pPr>
        <w:contextualSpacing/>
        <w:jc w:val="both"/>
        <w:rPr>
          <w:b/>
          <w:i/>
          <w:sz w:val="22"/>
          <w:szCs w:val="22"/>
        </w:rPr>
      </w:pPr>
    </w:p>
    <w:p w:rsidR="00262C46" w:rsidRDefault="00FB6155">
      <w:pPr>
        <w:contextualSpacing/>
        <w:jc w:val="both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2. Опыт работы в области охраны здоровья матери и ребенка, ВИЧ, качества медицинских услуг для женщин и детей:</w:t>
      </w:r>
      <w:r>
        <w:rPr>
          <w:b/>
          <w:color w:val="000000"/>
          <w:sz w:val="22"/>
          <w:szCs w:val="22"/>
        </w:rPr>
        <w:t xml:space="preserve"> </w:t>
      </w:r>
    </w:p>
    <w:p w:rsidR="00262C46" w:rsidRDefault="00262C46">
      <w:pPr>
        <w:contextualSpacing/>
        <w:jc w:val="both"/>
        <w:rPr>
          <w:b/>
          <w:color w:val="000000"/>
          <w:sz w:val="22"/>
          <w:szCs w:val="22"/>
        </w:rPr>
      </w:pP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Не менее 7 лет опыта работы в клинической педиатрической службе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Не менее 3 лет опыта работы на уровне управления, планирования, контроля за предоставлением медицинских услуг;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Подтвержденные навыки проведения мониторинга и оценки программ в области охраны здоровья матери и ребенка на национальном и местном уровнях;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Подтвержденный успешный опыт стратегического планирования и разработки национальных программных документов, стратегий и концепций в области охраны здоровья матери и ребенка, ВИЧ, охраны здоровья подростков;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Опыт участия в разработке клинических стандартов, протоколов на основе доказательной медицины обязателен;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>Подтвержденный опыт тренера на самых важных встречах, семинарах и обсуждениях по вопросам охраны здоровья подростков;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Отличные навыки презентации и написания материалов, умение пользоваться необходимыми компьютерными программами и приложениями;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Подтвержденный опыт управления проектами; </w:t>
      </w:r>
    </w:p>
    <w:p w:rsidR="00262C46" w:rsidRDefault="00FB615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Опыт работы в ЮНИСЕФ или другом агентстве ООН является преимуществом.</w:t>
      </w:r>
    </w:p>
    <w:p w:rsidR="00262C46" w:rsidRDefault="00262C46">
      <w:pPr>
        <w:contextualSpacing/>
        <w:jc w:val="both"/>
        <w:rPr>
          <w:b/>
          <w:i/>
          <w:color w:val="000000"/>
          <w:sz w:val="22"/>
          <w:szCs w:val="22"/>
        </w:rPr>
      </w:pPr>
    </w:p>
    <w:p w:rsidR="00262C46" w:rsidRDefault="00FB6155">
      <w:pPr>
        <w:contextualSpacing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3. Знание языков:</w:t>
      </w:r>
    </w:p>
    <w:p w:rsidR="00262C46" w:rsidRDefault="00262C46">
      <w:pPr>
        <w:contextualSpacing/>
        <w:jc w:val="both"/>
        <w:rPr>
          <w:b/>
          <w:i/>
          <w:color w:val="000000"/>
          <w:sz w:val="22"/>
          <w:szCs w:val="22"/>
        </w:rPr>
      </w:pPr>
    </w:p>
    <w:p w:rsidR="00262C46" w:rsidRDefault="00FB6155">
      <w:pPr>
        <w:pStyle w:val="ListParagraph"/>
        <w:numPr>
          <w:ilvl w:val="0"/>
          <w:numId w:val="3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владение русским и кыргызским языками в достаточном объеме для выполнения работы</w:t>
      </w:r>
    </w:p>
    <w:p w:rsidR="00262C46" w:rsidRDefault="00262C46">
      <w:pPr>
        <w:jc w:val="both"/>
      </w:pPr>
    </w:p>
    <w:p w:rsidR="00262C46" w:rsidRDefault="00262C46">
      <w:pPr>
        <w:ind w:firstLine="426"/>
        <w:jc w:val="both"/>
      </w:pPr>
    </w:p>
    <w:p w:rsidR="00262C46" w:rsidRDefault="00262C46">
      <w:pPr>
        <w:ind w:firstLine="426"/>
        <w:jc w:val="both"/>
      </w:pPr>
    </w:p>
    <w:p w:rsidR="00262C46" w:rsidRDefault="00262C46">
      <w:pPr>
        <w:ind w:firstLine="426"/>
        <w:jc w:val="both"/>
      </w:pPr>
    </w:p>
    <w:p w:rsidR="00262C46" w:rsidRDefault="00262C46">
      <w:pPr>
        <w:spacing w:after="120"/>
        <w:ind w:firstLine="426"/>
        <w:jc w:val="both"/>
      </w:pPr>
    </w:p>
    <w:p w:rsidR="00262C46" w:rsidRDefault="00262C46">
      <w:pPr>
        <w:pStyle w:val="a1"/>
        <w:pBdr>
          <w:top w:val="nil"/>
          <w:left w:val="nil"/>
          <w:bottom w:val="nil"/>
          <w:right w:val="nil"/>
        </w:pBdr>
      </w:pPr>
    </w:p>
    <w:sectPr w:rsidR="00262C46">
      <w:footerReference w:type="default" r:id="rId8"/>
      <w:pgSz w:w="11906" w:h="16838"/>
      <w:pgMar w:top="720" w:right="720" w:bottom="777" w:left="1008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14" w:rsidRDefault="00B82514">
      <w:r>
        <w:separator/>
      </w:r>
    </w:p>
  </w:endnote>
  <w:endnote w:type="continuationSeparator" w:id="0">
    <w:p w:rsidR="00B82514" w:rsidRDefault="00B8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20B05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46" w:rsidRDefault="00332AF0">
    <w:pPr>
      <w:pStyle w:val="a1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column">
                <wp:posOffset>6386830</wp:posOffset>
              </wp:positionH>
              <wp:positionV relativeFrom="paragraph">
                <wp:posOffset>635</wp:posOffset>
              </wp:positionV>
              <wp:extent cx="76835" cy="175260"/>
              <wp:effectExtent l="5080" t="10160" r="1333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C46" w:rsidRDefault="00FB6155">
                          <w:pPr>
                            <w:pStyle w:val="a1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C22D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02.9pt;margin-top:.05pt;width:6.05pt;height:13.8pt;z-index:251657728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">
              <v:fill opacity="0"/>
              <v:textbox inset="0,0,0,0">
                <w:txbxContent>
                  <w:p w:rsidR="00262C46" w:rsidRDefault="00FB6155">
                    <w:pPr>
                      <w:pStyle w:val="a1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C22D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14" w:rsidRDefault="00B82514">
      <w:r>
        <w:separator/>
      </w:r>
    </w:p>
  </w:footnote>
  <w:footnote w:type="continuationSeparator" w:id="0">
    <w:p w:rsidR="00B82514" w:rsidRDefault="00B82514">
      <w:r>
        <w:continuationSeparator/>
      </w:r>
    </w:p>
  </w:footnote>
  <w:footnote w:id="1">
    <w:p w:rsidR="00262C46" w:rsidRDefault="00FB6155">
      <w:pPr>
        <w:pStyle w:val="ac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ЮНИСЕФ. Ситуационный анализ положения детей в Кыргызской Республике. 2016, в печати.</w:t>
      </w:r>
    </w:p>
  </w:footnote>
  <w:footnote w:id="2">
    <w:p w:rsidR="00262C46" w:rsidRDefault="00FB6155">
      <w:pPr>
        <w:pStyle w:val="ac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r>
        <w:t xml:space="preserve">Там </w:t>
      </w:r>
      <w:r>
        <w:t>же.</w:t>
      </w:r>
    </w:p>
  </w:footnote>
  <w:footnote w:id="3">
    <w:p w:rsidR="00262C46" w:rsidRDefault="00FB6155">
      <w:pPr>
        <w:pStyle w:val="ac"/>
        <w:rPr>
          <w:rFonts w:cs="Arial"/>
          <w:bCs/>
          <w:color w:val="000000"/>
        </w:rPr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hyperlink r:id="rId1">
        <w:r>
          <w:rPr>
            <w:rStyle w:val="-"/>
            <w:rFonts w:cs="Arial"/>
            <w:bCs/>
            <w:color w:val="000000"/>
          </w:rPr>
          <w:t xml:space="preserve">Национальный </w:t>
        </w:r>
        <w:r>
          <w:rPr>
            <w:rStyle w:val="-"/>
            <w:rFonts w:cs="Arial"/>
            <w:bCs/>
            <w:color w:val="000000"/>
          </w:rPr>
          <w:t>статистический комитет</w:t>
        </w:r>
      </w:hyperlink>
      <w:r>
        <w:rPr>
          <w:rFonts w:cs="Arial"/>
          <w:bCs/>
          <w:color w:val="000000"/>
        </w:rPr>
        <w:t xml:space="preserve"> KP, там же.</w:t>
      </w:r>
    </w:p>
  </w:footnote>
  <w:footnote w:id="4">
    <w:p w:rsidR="00262C46" w:rsidRDefault="00FB6155">
      <w:pPr>
        <w:pStyle w:val="ac"/>
        <w:rPr>
          <w:rStyle w:val="a6"/>
        </w:rPr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hyperlink r:id="rId2">
        <w:r>
          <w:rPr>
            <w:rStyle w:val="a6"/>
          </w:rPr>
          <w:t>http://globalstrategy.everywomaneverychild.org/pdf/EWEC_globalstrategyreport_200915_FINAL_WEB.pdf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5480"/>
    <w:multiLevelType w:val="multilevel"/>
    <w:tmpl w:val="F6BE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A2A13"/>
    <w:multiLevelType w:val="multilevel"/>
    <w:tmpl w:val="C78CB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7C84"/>
    <w:multiLevelType w:val="multilevel"/>
    <w:tmpl w:val="4C5484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2302D"/>
    <w:multiLevelType w:val="multilevel"/>
    <w:tmpl w:val="EAA07F0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843494"/>
    <w:multiLevelType w:val="multilevel"/>
    <w:tmpl w:val="AA0E67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003E51"/>
    <w:multiLevelType w:val="multilevel"/>
    <w:tmpl w:val="F0DAA32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DA4D9A"/>
    <w:multiLevelType w:val="multilevel"/>
    <w:tmpl w:val="AF6445D4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B77335"/>
    <w:multiLevelType w:val="multilevel"/>
    <w:tmpl w:val="0A628DE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D35EE2"/>
    <w:multiLevelType w:val="multilevel"/>
    <w:tmpl w:val="A96C03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46"/>
    <w:rsid w:val="00262C46"/>
    <w:rsid w:val="00332AF0"/>
    <w:rsid w:val="00972500"/>
    <w:rsid w:val="00B82514"/>
    <w:rsid w:val="00DC22D8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6FAF1-2040-46B1-87A4-A802D660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88"/>
    <w:pPr>
      <w:suppressAutoHyphens/>
      <w:spacing w:line="240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Heading1Char"/>
    <w:uiPriority w:val="9"/>
    <w:qFormat/>
    <w:rsid w:val="003B29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">
    <w:name w:val="Заголовок 2"/>
    <w:basedOn w:val="Normal"/>
    <w:next w:val="Normal"/>
    <w:link w:val="Heading2Char"/>
    <w:uiPriority w:val="9"/>
    <w:semiHidden/>
    <w:unhideWhenUsed/>
    <w:qFormat/>
    <w:rsid w:val="00017B45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customStyle="1" w:styleId="Heading1Char">
    <w:name w:val="Heading 1 Char"/>
    <w:basedOn w:val="DefaultParagraphFont"/>
    <w:link w:val="1"/>
    <w:uiPriority w:val="9"/>
    <w:rsid w:val="003B29D2"/>
    <w:rPr>
      <w:rFonts w:ascii="Cambria" w:hAnsi="Cambria"/>
      <w:b/>
      <w:bCs/>
      <w:color w:val="365F91"/>
      <w:sz w:val="28"/>
      <w:szCs w:val="28"/>
    </w:rPr>
  </w:style>
  <w:style w:type="character" w:customStyle="1" w:styleId="TitleChar">
    <w:name w:val="Title Char"/>
    <w:basedOn w:val="DefaultParagraphFont"/>
    <w:link w:val="a"/>
    <w:rsid w:val="00B97988"/>
    <w:rPr>
      <w:rFonts w:eastAsia="Times New Roman"/>
      <w:sz w:val="22"/>
      <w:szCs w:val="20"/>
      <w:u w:val="single"/>
    </w:rPr>
  </w:style>
  <w:style w:type="character" w:customStyle="1" w:styleId="BodyTextIndentChar">
    <w:name w:val="Body Text Indent Char"/>
    <w:basedOn w:val="DefaultParagraphFont"/>
    <w:link w:val="a0"/>
    <w:rsid w:val="00F61FA0"/>
    <w:rPr>
      <w:rFonts w:eastAsia="Times New Roman"/>
      <w:bCs/>
      <w:u w:val="single"/>
      <w:lang w:val="ru-RU" w:eastAsia="ru-RU"/>
    </w:rPr>
  </w:style>
  <w:style w:type="character" w:customStyle="1" w:styleId="FooterChar">
    <w:name w:val="Footer Char"/>
    <w:basedOn w:val="DefaultParagraphFont"/>
    <w:link w:val="a1"/>
    <w:uiPriority w:val="99"/>
    <w:rsid w:val="000853DC"/>
    <w:rPr>
      <w:rFonts w:eastAsia="Times New Roman"/>
      <w:lang w:val="ru-RU" w:eastAsia="ru-RU"/>
    </w:rPr>
  </w:style>
  <w:style w:type="character" w:styleId="PageNumber">
    <w:name w:val="page number"/>
    <w:basedOn w:val="DefaultParagraphFont"/>
    <w:uiPriority w:val="99"/>
    <w:semiHidden/>
    <w:unhideWhenUsed/>
    <w:rsid w:val="000853DC"/>
  </w:style>
  <w:style w:type="character" w:customStyle="1" w:styleId="apple-converted-space">
    <w:name w:val="apple-converted-space"/>
    <w:basedOn w:val="DefaultParagraphFont"/>
    <w:rsid w:val="00F70F9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C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252118"/>
    <w:rPr>
      <w:rFonts w:eastAsia="Times New Roman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E77"/>
    <w:rPr>
      <w:rFonts w:ascii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7E77"/>
    <w:rPr>
      <w:vertAlign w:val="superscript"/>
    </w:rPr>
  </w:style>
  <w:style w:type="character" w:customStyle="1" w:styleId="-">
    <w:name w:val="Интернет-ссылка"/>
    <w:basedOn w:val="DefaultParagraphFont"/>
    <w:uiPriority w:val="99"/>
    <w:unhideWhenUsed/>
    <w:rsid w:val="00547E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46D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6D8"/>
    <w:rPr>
      <w:rFonts w:eastAsia="Times New Roman"/>
      <w:sz w:val="20"/>
      <w:szCs w:val="20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6D8"/>
    <w:rPr>
      <w:rFonts w:eastAsia="Times New Roman"/>
      <w:b/>
      <w:bCs/>
      <w:sz w:val="20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2"/>
    <w:uiPriority w:val="9"/>
    <w:semiHidden/>
    <w:rsid w:val="00017B45"/>
    <w:rPr>
      <w:rFonts w:ascii="Cambria" w:hAnsi="Cambria"/>
      <w:color w:val="365F91"/>
      <w:sz w:val="26"/>
      <w:szCs w:val="26"/>
      <w:lang w:val="ru-RU"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 w:cs="Arial"/>
      <w:color w:val="000000"/>
      <w:sz w:val="24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rFonts w:eastAsia="Times New Roman" w:cs="Times New Roman"/>
      <w:b w:val="0"/>
    </w:rPr>
  </w:style>
  <w:style w:type="character" w:customStyle="1" w:styleId="ListLabel10">
    <w:name w:val="ListLabel 10"/>
    <w:rPr>
      <w:i w:val="0"/>
      <w:lang w:val="en-US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a2">
    <w:name w:val="Символ сноски"/>
  </w:style>
  <w:style w:type="character" w:customStyle="1" w:styleId="a3">
    <w:name w:val="Привязка сноски"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a5">
    <w:name w:val="Символы концевой сноски"/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Normal"/>
    <w:next w:val="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8">
    <w:name w:val="Основной текст"/>
    <w:basedOn w:val="Normal"/>
    <w:pPr>
      <w:spacing w:after="140" w:line="288" w:lineRule="auto"/>
    </w:pPr>
  </w:style>
  <w:style w:type="paragraph" w:customStyle="1" w:styleId="a9">
    <w:name w:val="Список"/>
    <w:basedOn w:val="a8"/>
    <w:rPr>
      <w:rFonts w:cs="FreeSans"/>
    </w:rPr>
  </w:style>
  <w:style w:type="paragraph" w:customStyle="1" w:styleId="aa">
    <w:name w:val="Название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Указатель"/>
    <w:basedOn w:val="Normal"/>
    <w:pPr>
      <w:suppressLineNumbers/>
    </w:pPr>
    <w:rPr>
      <w:rFonts w:cs="FreeSans"/>
    </w:rPr>
  </w:style>
  <w:style w:type="paragraph" w:customStyle="1" w:styleId="a">
    <w:name w:val="Заглавие"/>
    <w:basedOn w:val="Normal"/>
    <w:link w:val="TitleChar"/>
    <w:qFormat/>
    <w:rsid w:val="00B97988"/>
    <w:pPr>
      <w:jc w:val="center"/>
    </w:pPr>
    <w:rPr>
      <w:sz w:val="22"/>
      <w:szCs w:val="20"/>
      <w:u w:val="single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7988"/>
    <w:pPr>
      <w:ind w:left="720"/>
    </w:pPr>
  </w:style>
  <w:style w:type="paragraph" w:customStyle="1" w:styleId="a0">
    <w:name w:val="Основной текст с отступом"/>
    <w:basedOn w:val="Normal"/>
    <w:link w:val="BodyTextIndentChar"/>
    <w:rsid w:val="00F61FA0"/>
    <w:pPr>
      <w:spacing w:after="120"/>
      <w:ind w:left="360"/>
    </w:pPr>
    <w:rPr>
      <w:bCs/>
      <w:u w:val="single"/>
    </w:rPr>
  </w:style>
  <w:style w:type="paragraph" w:customStyle="1" w:styleId="a1">
    <w:name w:val="Нижний колонтитул"/>
    <w:basedOn w:val="Normal"/>
    <w:link w:val="FooterChar"/>
    <w:uiPriority w:val="99"/>
    <w:unhideWhenUsed/>
    <w:rsid w:val="000853DC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F70F93"/>
    <w:pPr>
      <w:spacing w:after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BC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E77"/>
    <w:rPr>
      <w:rFonts w:ascii="Calibri" w:hAnsi="Calibri" w:cs="Calibri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6D8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D46D8"/>
    <w:rPr>
      <w:b/>
      <w:bCs/>
    </w:rPr>
  </w:style>
  <w:style w:type="paragraph" w:styleId="NoSpacing">
    <w:name w:val="No Spacing"/>
    <w:uiPriority w:val="1"/>
    <w:qFormat/>
    <w:rsid w:val="00017B45"/>
    <w:pPr>
      <w:suppressAutoHyphens/>
      <w:spacing w:line="240" w:lineRule="auto"/>
    </w:pPr>
    <w:rPr>
      <w:rFonts w:eastAsia="Times New Roman"/>
      <w:lang w:val="ru-RU" w:eastAsia="ru-RU"/>
    </w:rPr>
  </w:style>
  <w:style w:type="paragraph" w:customStyle="1" w:styleId="ac">
    <w:name w:val="Сноска"/>
    <w:basedOn w:val="Normal"/>
  </w:style>
  <w:style w:type="paragraph" w:customStyle="1" w:styleId="ad">
    <w:name w:val="Содержимое врезки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globalstrategy.everywomaneverychild.org/pdf/EWEC_globalstrategyreport_200915_FINAL_WEB.pdf" TargetMode="External"/><Relationship Id="rId1" Type="http://schemas.openxmlformats.org/officeDocument/2006/relationships/hyperlink" Target="http://www.belstat.gov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1FB8-0E08-4E12-B8A0-887659E7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UNICEF</dc:creator>
  <cp:lastModifiedBy>Aidai Kudaibergenova</cp:lastModifiedBy>
  <cp:revision>4</cp:revision>
  <cp:lastPrinted>2017-05-11T04:28:00Z</cp:lastPrinted>
  <dcterms:created xsi:type="dcterms:W3CDTF">2017-05-26T07:19:00Z</dcterms:created>
  <dcterms:modified xsi:type="dcterms:W3CDTF">2017-05-26T08:41:00Z</dcterms:modified>
  <dc:language>ru-RU</dc:language>
</cp:coreProperties>
</file>