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A01170" w:rsidRDefault="00927591" w:rsidP="00927591">
      <w:pPr>
        <w:ind w:left="-1080"/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INDIVIDUAL CONSULTANT</w:t>
      </w:r>
      <w:r w:rsidR="00A01170" w:rsidRPr="003466A6">
        <w:rPr>
          <w:rFonts w:ascii="Calibri" w:hAnsi="Calibri"/>
          <w:b/>
          <w:sz w:val="22"/>
          <w:szCs w:val="22"/>
        </w:rPr>
        <w:t xml:space="preserve"> </w:t>
      </w:r>
      <w:r w:rsidR="002B14CC" w:rsidRPr="003466A6">
        <w:rPr>
          <w:rFonts w:ascii="Calibri" w:hAnsi="Calibri"/>
          <w:b/>
          <w:sz w:val="22"/>
          <w:szCs w:val="22"/>
        </w:rPr>
        <w:t xml:space="preserve">FOR </w:t>
      </w:r>
      <w:r w:rsidR="00691C57">
        <w:rPr>
          <w:rFonts w:ascii="Calibri" w:hAnsi="Calibri"/>
          <w:b/>
          <w:sz w:val="22"/>
          <w:szCs w:val="22"/>
        </w:rPr>
        <w:t>‘</w:t>
      </w:r>
      <w:r w:rsidR="00691C57" w:rsidRPr="00691C57">
        <w:rPr>
          <w:rFonts w:ascii="Calibri" w:hAnsi="Calibri"/>
          <w:b/>
          <w:sz w:val="22"/>
          <w:szCs w:val="22"/>
        </w:rPr>
        <w:t>GAVI Immunization</w:t>
      </w:r>
      <w:r w:rsidR="00691C57">
        <w:rPr>
          <w:rFonts w:ascii="Calibri" w:hAnsi="Calibri"/>
          <w:b/>
          <w:sz w:val="22"/>
          <w:szCs w:val="22"/>
        </w:rPr>
        <w:t>-</w:t>
      </w:r>
      <w:r w:rsidR="00691C57" w:rsidRPr="00691C57">
        <w:rPr>
          <w:rFonts w:ascii="Calibri" w:hAnsi="Calibri"/>
          <w:b/>
          <w:sz w:val="22"/>
          <w:szCs w:val="22"/>
        </w:rPr>
        <w:t xml:space="preserve"> Monitoring &amp; Evaluation</w:t>
      </w:r>
      <w:r w:rsidR="00691C57">
        <w:rPr>
          <w:rFonts w:ascii="Calibri" w:hAnsi="Calibri"/>
          <w:b/>
          <w:sz w:val="22"/>
          <w:szCs w:val="22"/>
        </w:rPr>
        <w:t>’</w:t>
      </w:r>
    </w:p>
    <w:p w:rsidR="00440483" w:rsidRPr="003466A6" w:rsidRDefault="00440483" w:rsidP="00927591">
      <w:pPr>
        <w:ind w:left="-1080"/>
        <w:jc w:val="center"/>
        <w:rPr>
          <w:rFonts w:ascii="Calibri" w:hAnsi="Calibri"/>
          <w:sz w:val="22"/>
          <w:szCs w:val="2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2343"/>
        <w:gridCol w:w="1633"/>
        <w:gridCol w:w="1530"/>
      </w:tblGrid>
      <w:tr w:rsidR="00823603" w:rsidRPr="00433FC8" w:rsidTr="008D5ECC">
        <w:trPr>
          <w:trHeight w:val="269"/>
          <w:jc w:val="center"/>
        </w:trPr>
        <w:tc>
          <w:tcPr>
            <w:tcW w:w="2034" w:type="pct"/>
            <w:vMerge w:val="restart"/>
          </w:tcPr>
          <w:p w:rsidR="00823603" w:rsidRPr="00433FC8" w:rsidRDefault="00823603" w:rsidP="00246513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Deliverable (s)</w:t>
            </w:r>
          </w:p>
        </w:tc>
        <w:tc>
          <w:tcPr>
            <w:tcW w:w="2966" w:type="pct"/>
            <w:gridSpan w:val="3"/>
            <w:tcBorders>
              <w:bottom w:val="single" w:sz="4" w:space="0" w:color="auto"/>
            </w:tcBorders>
          </w:tcPr>
          <w:p w:rsidR="00823603" w:rsidRPr="00433FC8" w:rsidRDefault="00823603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Consultant's Proposal</w:t>
            </w:r>
          </w:p>
        </w:tc>
      </w:tr>
      <w:tr w:rsidR="00823603" w:rsidRPr="00433FC8" w:rsidTr="008D5ECC">
        <w:trPr>
          <w:trHeight w:val="269"/>
          <w:jc w:val="center"/>
        </w:trPr>
        <w:tc>
          <w:tcPr>
            <w:tcW w:w="2034" w:type="pct"/>
            <w:vMerge/>
            <w:tcBorders>
              <w:bottom w:val="single" w:sz="4" w:space="0" w:color="auto"/>
            </w:tcBorders>
          </w:tcPr>
          <w:p w:rsidR="00823603" w:rsidRPr="00433FC8" w:rsidRDefault="00823603" w:rsidP="002465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823603" w:rsidRPr="00433FC8" w:rsidRDefault="00823603" w:rsidP="00433FC8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Estimated deadline for completion of deliverable (please mention as days/months)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823603" w:rsidRPr="00433FC8" w:rsidRDefault="00823603" w:rsidP="00433FC8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Complete timeframe for deliverable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823603" w:rsidRPr="00433FC8" w:rsidRDefault="00823603" w:rsidP="008D563C">
            <w:pPr>
              <w:jc w:val="center"/>
              <w:rPr>
                <w:rFonts w:ascii="Calibri" w:hAnsi="Calibri"/>
                <w:b/>
              </w:rPr>
            </w:pPr>
            <w:r w:rsidRPr="00433FC8">
              <w:rPr>
                <w:rFonts w:ascii="Calibri" w:hAnsi="Calibri"/>
                <w:b/>
              </w:rPr>
              <w:t>Cost (INR)</w:t>
            </w:r>
          </w:p>
          <w:p w:rsidR="00823603" w:rsidRPr="00433FC8" w:rsidRDefault="00637C99" w:rsidP="00637C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fee  (Travel &amp; per</w:t>
            </w:r>
            <w:r w:rsidR="006C6B6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diem will be as per note below)</w:t>
            </w:r>
          </w:p>
        </w:tc>
      </w:tr>
      <w:tr w:rsidR="00870625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870625" w:rsidRPr="002E0C05" w:rsidRDefault="00870625" w:rsidP="008706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Review and update the </w:t>
            </w:r>
            <w:r w:rsidRPr="002E0C05">
              <w:rPr>
                <w:rFonts w:asciiTheme="minorHAnsi" w:hAnsiTheme="minorHAnsi"/>
                <w:sz w:val="24"/>
                <w:szCs w:val="24"/>
              </w:rPr>
              <w:t>supportive supervision models in GAVI states (Medical colleges, external agencies,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E0C05">
              <w:rPr>
                <w:rFonts w:asciiTheme="minorHAnsi" w:hAnsiTheme="minorHAnsi"/>
                <w:sz w:val="24"/>
                <w:szCs w:val="24"/>
              </w:rPr>
              <w:t>etc.) Detailed description of the plan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Also include the analysis on use of Supportive Supervision android app for data collection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updation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required 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870625" w:rsidRPr="00707BF4" w:rsidRDefault="00870625" w:rsidP="00870625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Dec 2017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Pr="00FE6C85" w:rsidRDefault="00870625" w:rsidP="00870625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Pr="00433FC8" w:rsidRDefault="00870625" w:rsidP="00870625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70625" w:rsidRPr="00433FC8" w:rsidTr="008D5ECC">
        <w:trPr>
          <w:trHeight w:val="1178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870625" w:rsidRPr="002E0C05" w:rsidRDefault="00870625" w:rsidP="00870625">
            <w:pPr>
              <w:ind w:left="45"/>
              <w:rPr>
                <w:rFonts w:asciiTheme="minorHAnsi" w:hAnsiTheme="minorHAnsi"/>
                <w:sz w:val="24"/>
                <w:szCs w:val="24"/>
              </w:rPr>
            </w:pPr>
            <w:r w:rsidRPr="002E0C05">
              <w:rPr>
                <w:rFonts w:asciiTheme="minorHAnsi" w:hAnsiTheme="minorHAnsi"/>
                <w:sz w:val="24"/>
                <w:szCs w:val="24"/>
              </w:rPr>
              <w:t>Monthly collection collation and reporting of Supportive supervis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2E0C05">
              <w:rPr>
                <w:rFonts w:asciiTheme="minorHAnsi" w:hAnsiTheme="minorHAnsi"/>
                <w:sz w:val="24"/>
                <w:szCs w:val="24"/>
              </w:rPr>
              <w:t>on data to UNICEF and MOHFW and states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870625" w:rsidRPr="00707BF4" w:rsidRDefault="00870625" w:rsidP="00870625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Monthly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Pr="00FE6C85" w:rsidRDefault="00870625" w:rsidP="00870625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Pr="00433FC8" w:rsidRDefault="00870625" w:rsidP="00870625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70625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870625" w:rsidRPr="002E0C05" w:rsidRDefault="00870625" w:rsidP="00870625">
            <w:pPr>
              <w:ind w:left="45"/>
              <w:rPr>
                <w:rFonts w:asciiTheme="minorHAnsi" w:hAnsiTheme="minorHAnsi"/>
                <w:sz w:val="24"/>
                <w:szCs w:val="24"/>
              </w:rPr>
            </w:pPr>
            <w:r w:rsidRPr="002E0C05">
              <w:rPr>
                <w:rFonts w:asciiTheme="minorHAnsi" w:hAnsiTheme="minorHAnsi"/>
                <w:sz w:val="24"/>
                <w:szCs w:val="24"/>
              </w:rPr>
              <w:t>Quarterly presentation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report on </w:t>
            </w:r>
            <w:r w:rsidRPr="002E0C05">
              <w:rPr>
                <w:rFonts w:asciiTheme="minorHAnsi" w:hAnsiTheme="minorHAnsi"/>
                <w:sz w:val="24"/>
                <w:szCs w:val="24"/>
              </w:rPr>
              <w:t>data to IAG,ICO and reporting to GAVI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870625" w:rsidRPr="00707BF4" w:rsidRDefault="00870625" w:rsidP="00870625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Default="00870625" w:rsidP="00870625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Pr="00433FC8" w:rsidRDefault="00870625" w:rsidP="00870625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70625" w:rsidRPr="00433FC8" w:rsidTr="008D5ECC">
        <w:trPr>
          <w:trHeight w:val="269"/>
          <w:jc w:val="center"/>
        </w:trPr>
        <w:tc>
          <w:tcPr>
            <w:tcW w:w="2034" w:type="pct"/>
            <w:tcBorders>
              <w:bottom w:val="single" w:sz="4" w:space="0" w:color="auto"/>
            </w:tcBorders>
          </w:tcPr>
          <w:p w:rsidR="00870625" w:rsidRPr="002E0C05" w:rsidRDefault="00870625" w:rsidP="00870625">
            <w:pPr>
              <w:ind w:left="45"/>
              <w:rPr>
                <w:rFonts w:asciiTheme="minorHAnsi" w:hAnsiTheme="minorHAnsi"/>
                <w:sz w:val="24"/>
                <w:szCs w:val="24"/>
              </w:rPr>
            </w:pPr>
            <w:r w:rsidRPr="002E0C05">
              <w:rPr>
                <w:rFonts w:asciiTheme="minorHAnsi" w:hAnsiTheme="minorHAnsi"/>
                <w:sz w:val="24"/>
                <w:szCs w:val="24"/>
              </w:rPr>
              <w:t>Annual report to GAVI and lessons learned and success stories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FFFFFF"/>
          </w:tcPr>
          <w:p w:rsidR="00870625" w:rsidRPr="00707BF4" w:rsidRDefault="00870625" w:rsidP="00870625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07BF4">
              <w:rPr>
                <w:rFonts w:asciiTheme="minorHAnsi" w:hAnsiTheme="minorHAnsi" w:cs="Arial"/>
                <w:bCs/>
                <w:sz w:val="24"/>
                <w:szCs w:val="24"/>
              </w:rPr>
              <w:t>Annually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Default="00870625" w:rsidP="00870625">
            <w:pPr>
              <w:spacing w:before="12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625" w:rsidRPr="00433FC8" w:rsidRDefault="00870625" w:rsidP="00870625">
            <w:pPr>
              <w:spacing w:line="48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23603" w:rsidRDefault="00823603">
      <w:pPr>
        <w:rPr>
          <w:rFonts w:ascii="Calibri" w:hAnsi="Calibri"/>
          <w:i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 w:rsidRPr="00AC1F2E">
        <w:rPr>
          <w:rFonts w:ascii="Calibri" w:hAnsi="Calibri"/>
          <w:sz w:val="22"/>
          <w:szCs w:val="22"/>
        </w:rPr>
        <w:t xml:space="preserve">The consultant will be expected to </w:t>
      </w:r>
      <w:r w:rsidR="008D5ECC" w:rsidRPr="00AC1F2E">
        <w:rPr>
          <w:rFonts w:ascii="Calibri" w:hAnsi="Calibri"/>
          <w:sz w:val="22"/>
          <w:szCs w:val="22"/>
        </w:rPr>
        <w:t xml:space="preserve">travel </w:t>
      </w:r>
      <w:r w:rsidR="00F806B2" w:rsidRPr="00AC1F2E">
        <w:rPr>
          <w:rFonts w:ascii="Calibri" w:hAnsi="Calibri"/>
          <w:sz w:val="22"/>
          <w:szCs w:val="22"/>
        </w:rPr>
        <w:t xml:space="preserve">to states </w:t>
      </w:r>
      <w:r w:rsidRPr="00AC1F2E">
        <w:rPr>
          <w:rFonts w:ascii="Calibri" w:hAnsi="Calibri"/>
          <w:sz w:val="22"/>
          <w:szCs w:val="22"/>
        </w:rPr>
        <w:t xml:space="preserve">and submit a detailed trip report. </w:t>
      </w:r>
      <w:r w:rsidR="00637C99" w:rsidRPr="00AC1F2E">
        <w:rPr>
          <w:rFonts w:ascii="Calibri" w:hAnsi="Calibri"/>
          <w:sz w:val="22"/>
          <w:szCs w:val="22"/>
        </w:rPr>
        <w:t xml:space="preserve">  </w:t>
      </w:r>
      <w:r w:rsidR="006C6B6C" w:rsidRPr="00AC1F2E">
        <w:rPr>
          <w:rFonts w:ascii="Calibri" w:hAnsi="Calibri"/>
          <w:sz w:val="22"/>
          <w:szCs w:val="22"/>
        </w:rPr>
        <w:t>Travel</w:t>
      </w:r>
      <w:r w:rsidRPr="00AC1F2E">
        <w:rPr>
          <w:rFonts w:ascii="Calibri" w:hAnsi="Calibri"/>
          <w:sz w:val="22"/>
          <w:szCs w:val="22"/>
        </w:rPr>
        <w:t xml:space="preserve"> cost will be reimbursed on actual on receipt of a Travel Claim with su</w:t>
      </w:r>
      <w:r w:rsidR="00637C99" w:rsidRPr="00AC1F2E">
        <w:rPr>
          <w:rFonts w:ascii="Calibri" w:hAnsi="Calibri"/>
          <w:sz w:val="22"/>
          <w:szCs w:val="22"/>
        </w:rPr>
        <w:t>pporting</w:t>
      </w:r>
      <w:r w:rsidR="00637C99">
        <w:rPr>
          <w:rFonts w:ascii="Calibri" w:hAnsi="Calibri"/>
          <w:sz w:val="22"/>
          <w:szCs w:val="22"/>
        </w:rPr>
        <w:t xml:space="preserve"> documents and </w:t>
      </w:r>
      <w:r w:rsidR="006C6B6C">
        <w:rPr>
          <w:rFonts w:ascii="Calibri" w:hAnsi="Calibri"/>
          <w:sz w:val="22"/>
          <w:szCs w:val="22"/>
        </w:rPr>
        <w:t>invoices</w:t>
      </w:r>
      <w:r w:rsidR="00F806B2">
        <w:rPr>
          <w:rFonts w:ascii="Calibri" w:hAnsi="Calibri"/>
          <w:sz w:val="22"/>
          <w:szCs w:val="22"/>
        </w:rPr>
        <w:t>.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diem will be reimbursed at UNICEF consultant rates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consultant is required to make own arrangements for travel and stay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Payment will be made against receipt and acceptance of deliverables on a monthly basis.</w:t>
      </w:r>
    </w:p>
    <w:p w:rsidR="00823603" w:rsidRDefault="00823603">
      <w:pPr>
        <w:rPr>
          <w:rFonts w:ascii="Calibri" w:hAnsi="Calibri"/>
          <w:sz w:val="22"/>
          <w:szCs w:val="22"/>
        </w:rPr>
      </w:pPr>
    </w:p>
    <w:p w:rsidR="00823603" w:rsidRPr="00823603" w:rsidRDefault="00823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647EE" w:rsidRPr="002D3C63" w:rsidRDefault="002D3C6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Shaded area to be filled in by consultant</w:t>
      </w:r>
    </w:p>
    <w:p w:rsidR="00440483" w:rsidRPr="003466A6" w:rsidRDefault="00440483">
      <w:pPr>
        <w:rPr>
          <w:rFonts w:ascii="Calibri" w:hAnsi="Calibri"/>
          <w:sz w:val="22"/>
          <w:szCs w:val="22"/>
        </w:rPr>
      </w:pPr>
    </w:p>
    <w:p w:rsidR="008D563C" w:rsidRPr="003466A6" w:rsidRDefault="008D563C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Name of the Bidder</w:t>
      </w:r>
      <w:r w:rsidR="00383A61">
        <w:rPr>
          <w:rFonts w:ascii="Calibri" w:hAnsi="Calibri"/>
          <w:b/>
          <w:sz w:val="22"/>
          <w:szCs w:val="22"/>
        </w:rPr>
        <w:t>:</w:t>
      </w:r>
      <w:r w:rsidR="00383A61">
        <w:rPr>
          <w:rFonts w:ascii="Calibri" w:hAnsi="Calibri"/>
          <w:b/>
          <w:sz w:val="22"/>
          <w:szCs w:val="22"/>
        </w:rPr>
        <w:tab/>
      </w:r>
      <w:r w:rsidR="009943E7" w:rsidRPr="003466A6">
        <w:rPr>
          <w:rFonts w:ascii="Calibri" w:hAnsi="Calibri"/>
          <w:b/>
          <w:sz w:val="22"/>
          <w:szCs w:val="22"/>
        </w:rPr>
        <w:t xml:space="preserve">   </w:t>
      </w:r>
      <w:r w:rsidR="00383A61">
        <w:rPr>
          <w:rFonts w:ascii="Calibri" w:hAnsi="Calibri"/>
          <w:b/>
          <w:sz w:val="22"/>
          <w:szCs w:val="22"/>
        </w:rPr>
        <w:tab/>
      </w:r>
    </w:p>
    <w:p w:rsidR="00440483" w:rsidRDefault="00440483">
      <w:pPr>
        <w:rPr>
          <w:rFonts w:ascii="Calibri" w:hAnsi="Calibri"/>
          <w:b/>
          <w:sz w:val="22"/>
          <w:szCs w:val="22"/>
        </w:rPr>
      </w:pPr>
    </w:p>
    <w:p w:rsidR="002C6DA1" w:rsidRDefault="008D563C" w:rsidP="00B932B3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Address</w:t>
      </w:r>
      <w:r w:rsidR="002C6DA1">
        <w:rPr>
          <w:rFonts w:ascii="Calibri" w:hAnsi="Calibri"/>
          <w:b/>
          <w:sz w:val="22"/>
          <w:szCs w:val="22"/>
        </w:rPr>
        <w:t>:</w:t>
      </w:r>
    </w:p>
    <w:p w:rsidR="002C6DA1" w:rsidRDefault="002C6DA1" w:rsidP="00B932B3">
      <w:pPr>
        <w:rPr>
          <w:rFonts w:ascii="Calibri" w:hAnsi="Calibri"/>
          <w:b/>
          <w:sz w:val="22"/>
          <w:szCs w:val="22"/>
        </w:rPr>
      </w:pPr>
    </w:p>
    <w:p w:rsidR="00383A61" w:rsidRPr="003466A6" w:rsidRDefault="002C6DA1" w:rsidP="00B932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8D563C" w:rsidRPr="003466A6">
        <w:rPr>
          <w:rFonts w:ascii="Calibri" w:hAnsi="Calibri"/>
          <w:b/>
          <w:sz w:val="22"/>
          <w:szCs w:val="22"/>
        </w:rPr>
        <w:t>ontact no</w:t>
      </w:r>
      <w:r w:rsidR="009943E7" w:rsidRPr="003466A6">
        <w:rPr>
          <w:rFonts w:ascii="Calibri" w:hAnsi="Calibri"/>
          <w:b/>
          <w:sz w:val="22"/>
          <w:szCs w:val="22"/>
        </w:rPr>
        <w:t>.</w:t>
      </w:r>
      <w:r w:rsidR="00383A61">
        <w:rPr>
          <w:rFonts w:ascii="Calibri" w:hAnsi="Calibri"/>
          <w:b/>
          <w:sz w:val="22"/>
          <w:szCs w:val="22"/>
        </w:rPr>
        <w:t>:</w:t>
      </w:r>
      <w:r w:rsidR="00383A61">
        <w:rPr>
          <w:rFonts w:ascii="Calibri" w:hAnsi="Calibri"/>
          <w:b/>
          <w:sz w:val="22"/>
          <w:szCs w:val="22"/>
        </w:rPr>
        <w:tab/>
      </w:r>
    </w:p>
    <w:p w:rsidR="00440483" w:rsidRDefault="00440483">
      <w:pPr>
        <w:rPr>
          <w:rFonts w:ascii="Calibri" w:hAnsi="Calibri"/>
          <w:b/>
          <w:sz w:val="22"/>
          <w:szCs w:val="22"/>
        </w:rPr>
      </w:pPr>
    </w:p>
    <w:p w:rsidR="00B932B3" w:rsidRDefault="00B932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address:</w:t>
      </w:r>
    </w:p>
    <w:p w:rsidR="00B932B3" w:rsidRDefault="00B932B3">
      <w:pPr>
        <w:rPr>
          <w:rFonts w:ascii="Calibri" w:hAnsi="Calibri"/>
          <w:b/>
          <w:sz w:val="22"/>
          <w:szCs w:val="22"/>
        </w:rPr>
      </w:pPr>
    </w:p>
    <w:p w:rsidR="00C613B4" w:rsidRDefault="00447B24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Date:</w:t>
      </w:r>
      <w:r w:rsidR="00383A61">
        <w:rPr>
          <w:rFonts w:ascii="Calibri" w:hAnsi="Calibri"/>
          <w:b/>
          <w:sz w:val="22"/>
          <w:szCs w:val="22"/>
        </w:rPr>
        <w:tab/>
      </w:r>
      <w:r w:rsidR="00383A61">
        <w:rPr>
          <w:rFonts w:ascii="Calibri" w:hAnsi="Calibri"/>
          <w:b/>
          <w:sz w:val="22"/>
          <w:szCs w:val="22"/>
        </w:rPr>
        <w:tab/>
      </w:r>
      <w:r w:rsidR="00383A61">
        <w:rPr>
          <w:rFonts w:ascii="Calibri" w:hAnsi="Calibri"/>
          <w:b/>
          <w:sz w:val="22"/>
          <w:szCs w:val="22"/>
        </w:rPr>
        <w:tab/>
      </w:r>
      <w:bookmarkStart w:id="0" w:name="_GoBack"/>
      <w:bookmarkEnd w:id="0"/>
    </w:p>
    <w:sectPr w:rsidR="00C613B4" w:rsidSect="00440483">
      <w:pgSz w:w="11907" w:h="16839" w:code="9"/>
      <w:pgMar w:top="1440" w:right="1170" w:bottom="12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BF76E8"/>
    <w:multiLevelType w:val="hybridMultilevel"/>
    <w:tmpl w:val="41CA5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22"/>
  </w:num>
  <w:num w:numId="5">
    <w:abstractNumId w:val="23"/>
  </w:num>
  <w:num w:numId="6">
    <w:abstractNumId w:val="15"/>
  </w:num>
  <w:num w:numId="7">
    <w:abstractNumId w:val="24"/>
  </w:num>
  <w:num w:numId="8">
    <w:abstractNumId w:val="16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21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6"/>
  </w:num>
  <w:num w:numId="19">
    <w:abstractNumId w:val="27"/>
    <w:lvlOverride w:ilvl="0">
      <w:startOverride w:val="1"/>
    </w:lvlOverride>
  </w:num>
  <w:num w:numId="20">
    <w:abstractNumId w:val="0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26"/>
  </w:num>
  <w:num w:numId="26">
    <w:abstractNumId w:val="19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647EE"/>
    <w:rsid w:val="0006587D"/>
    <w:rsid w:val="00074114"/>
    <w:rsid w:val="001148B1"/>
    <w:rsid w:val="001238D2"/>
    <w:rsid w:val="00124CB6"/>
    <w:rsid w:val="001942F7"/>
    <w:rsid w:val="00195D0E"/>
    <w:rsid w:val="00206590"/>
    <w:rsid w:val="00246513"/>
    <w:rsid w:val="0025371D"/>
    <w:rsid w:val="002653E2"/>
    <w:rsid w:val="002A5183"/>
    <w:rsid w:val="002B14CC"/>
    <w:rsid w:val="002B3240"/>
    <w:rsid w:val="002C6DA1"/>
    <w:rsid w:val="002D1D70"/>
    <w:rsid w:val="002D3C63"/>
    <w:rsid w:val="00337521"/>
    <w:rsid w:val="003466A6"/>
    <w:rsid w:val="00383A61"/>
    <w:rsid w:val="003B344A"/>
    <w:rsid w:val="003D1964"/>
    <w:rsid w:val="00432764"/>
    <w:rsid w:val="00433FC8"/>
    <w:rsid w:val="00440483"/>
    <w:rsid w:val="00442CC5"/>
    <w:rsid w:val="00447B24"/>
    <w:rsid w:val="00470E67"/>
    <w:rsid w:val="0047574C"/>
    <w:rsid w:val="004A6E0C"/>
    <w:rsid w:val="004C65A1"/>
    <w:rsid w:val="005321D4"/>
    <w:rsid w:val="0059463D"/>
    <w:rsid w:val="005A56A1"/>
    <w:rsid w:val="005C154A"/>
    <w:rsid w:val="00615269"/>
    <w:rsid w:val="00624378"/>
    <w:rsid w:val="00637C99"/>
    <w:rsid w:val="00645FE1"/>
    <w:rsid w:val="00652E46"/>
    <w:rsid w:val="00691C57"/>
    <w:rsid w:val="006C6B6C"/>
    <w:rsid w:val="006F10B3"/>
    <w:rsid w:val="007030B6"/>
    <w:rsid w:val="0075591F"/>
    <w:rsid w:val="00773422"/>
    <w:rsid w:val="007A5E3C"/>
    <w:rsid w:val="007E7C8F"/>
    <w:rsid w:val="00823603"/>
    <w:rsid w:val="00842374"/>
    <w:rsid w:val="00850778"/>
    <w:rsid w:val="00870625"/>
    <w:rsid w:val="00872F09"/>
    <w:rsid w:val="008D563C"/>
    <w:rsid w:val="008D5ECC"/>
    <w:rsid w:val="008E4FE8"/>
    <w:rsid w:val="008F2CD1"/>
    <w:rsid w:val="00921DA9"/>
    <w:rsid w:val="00927591"/>
    <w:rsid w:val="009443A2"/>
    <w:rsid w:val="00976688"/>
    <w:rsid w:val="009943E7"/>
    <w:rsid w:val="00A01170"/>
    <w:rsid w:val="00A377A0"/>
    <w:rsid w:val="00A81E36"/>
    <w:rsid w:val="00A90B04"/>
    <w:rsid w:val="00AB7EDF"/>
    <w:rsid w:val="00AC1F2E"/>
    <w:rsid w:val="00B2481B"/>
    <w:rsid w:val="00B47B66"/>
    <w:rsid w:val="00B7411F"/>
    <w:rsid w:val="00B865A6"/>
    <w:rsid w:val="00B932B3"/>
    <w:rsid w:val="00BB7151"/>
    <w:rsid w:val="00C01D65"/>
    <w:rsid w:val="00C613B4"/>
    <w:rsid w:val="00C834DC"/>
    <w:rsid w:val="00CE35A7"/>
    <w:rsid w:val="00D25B1B"/>
    <w:rsid w:val="00D511BC"/>
    <w:rsid w:val="00D6740F"/>
    <w:rsid w:val="00D72449"/>
    <w:rsid w:val="00D770CB"/>
    <w:rsid w:val="00DF0E5C"/>
    <w:rsid w:val="00E20E37"/>
    <w:rsid w:val="00E61179"/>
    <w:rsid w:val="00EB199C"/>
    <w:rsid w:val="00EB6DEA"/>
    <w:rsid w:val="00EC76D2"/>
    <w:rsid w:val="00ED2740"/>
    <w:rsid w:val="00F20E94"/>
    <w:rsid w:val="00F32FD4"/>
    <w:rsid w:val="00F62BD3"/>
    <w:rsid w:val="00F6350E"/>
    <w:rsid w:val="00F806B2"/>
    <w:rsid w:val="00FA5E2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B1266D-57AD-4782-939B-DE8DDE6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5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3F5E-B1D8-4D96-BDE3-3B2B716E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Bhrigu Kapuria</cp:lastModifiedBy>
  <cp:revision>3</cp:revision>
  <cp:lastPrinted>2017-04-04T11:08:00Z</cp:lastPrinted>
  <dcterms:created xsi:type="dcterms:W3CDTF">2017-04-25T10:43:00Z</dcterms:created>
  <dcterms:modified xsi:type="dcterms:W3CDTF">2017-04-25T10:45:00Z</dcterms:modified>
</cp:coreProperties>
</file>