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D9" w:rsidRPr="006E7AE5" w:rsidRDefault="004E48D9">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320"/>
        <w:gridCol w:w="1710"/>
      </w:tblGrid>
      <w:tr w:rsidR="005077B5" w:rsidRPr="006E7AE5" w:rsidTr="008D3A21">
        <w:tc>
          <w:tcPr>
            <w:tcW w:w="10260" w:type="dxa"/>
            <w:gridSpan w:val="3"/>
            <w:shd w:val="clear" w:color="auto" w:fill="DAEEF3" w:themeFill="accent5" w:themeFillTint="33"/>
          </w:tcPr>
          <w:p w:rsidR="00C61F61" w:rsidRPr="00094CA4" w:rsidRDefault="00AC1BA0" w:rsidP="00C61F61">
            <w:pPr>
              <w:rPr>
                <w:rFonts w:ascii="Arial" w:hAnsi="Arial" w:cs="Arial"/>
                <w:sz w:val="20"/>
              </w:rPr>
            </w:pPr>
            <w:r>
              <w:rPr>
                <w:rFonts w:cs="Tahoma"/>
                <w:b/>
                <w:szCs w:val="22"/>
              </w:rPr>
              <w:t xml:space="preserve">Heading: </w:t>
            </w:r>
            <w:r w:rsidR="00C61F61" w:rsidRPr="00094CA4">
              <w:rPr>
                <w:rFonts w:ascii="Arial" w:hAnsi="Arial" w:cs="Arial"/>
                <w:b/>
                <w:sz w:val="20"/>
              </w:rPr>
              <w:t xml:space="preserve">Terms of Reference for </w:t>
            </w:r>
            <w:r w:rsidR="00C61F61">
              <w:rPr>
                <w:rFonts w:ascii="Arial" w:hAnsi="Arial" w:cs="Arial"/>
                <w:b/>
                <w:sz w:val="20"/>
              </w:rPr>
              <w:t>Mental Health and Psychosocial Support Services (</w:t>
            </w:r>
            <w:r w:rsidR="00C61F61" w:rsidRPr="00094CA4">
              <w:rPr>
                <w:rFonts w:ascii="Arial" w:hAnsi="Arial" w:cs="Arial"/>
                <w:b/>
                <w:sz w:val="20"/>
              </w:rPr>
              <w:t>Consultant</w:t>
            </w:r>
            <w:r w:rsidR="00C61F61">
              <w:rPr>
                <w:rFonts w:ascii="Arial" w:hAnsi="Arial" w:cs="Arial"/>
                <w:b/>
                <w:sz w:val="20"/>
              </w:rPr>
              <w:t>)</w:t>
            </w:r>
          </w:p>
          <w:p w:rsidR="00BA4DC7" w:rsidRPr="006E7AE5" w:rsidRDefault="00BA4DC7" w:rsidP="00393A96">
            <w:pPr>
              <w:rPr>
                <w:rFonts w:cs="Tahoma"/>
                <w:b/>
                <w:szCs w:val="22"/>
              </w:rPr>
            </w:pPr>
          </w:p>
          <w:p w:rsidR="00ED05AD" w:rsidRPr="006E7AE5" w:rsidRDefault="00ED05AD" w:rsidP="00393A96">
            <w:pPr>
              <w:rPr>
                <w:rFonts w:cs="Tahoma"/>
                <w:szCs w:val="22"/>
              </w:rPr>
            </w:pPr>
          </w:p>
          <w:p w:rsidR="008D3A21" w:rsidRPr="006E7AE5" w:rsidRDefault="008D3A21" w:rsidP="00393A96">
            <w:pPr>
              <w:rPr>
                <w:rFonts w:cs="Tahoma"/>
                <w:szCs w:val="22"/>
              </w:rPr>
            </w:pPr>
            <w:r w:rsidRPr="006E7AE5">
              <w:rPr>
                <w:rFonts w:cs="Tahoma"/>
                <w:b/>
                <w:szCs w:val="22"/>
              </w:rPr>
              <w:t>Section in Charge</w:t>
            </w:r>
            <w:r w:rsidRPr="006E7AE5">
              <w:rPr>
                <w:rFonts w:cs="Tahoma"/>
                <w:szCs w:val="22"/>
              </w:rPr>
              <w:t xml:space="preserve">: </w:t>
            </w:r>
            <w:r w:rsidR="00C61F61">
              <w:rPr>
                <w:rFonts w:ascii="Arial" w:hAnsi="Arial" w:cs="Arial"/>
                <w:sz w:val="20"/>
              </w:rPr>
              <w:t>Child Protection</w:t>
            </w:r>
          </w:p>
          <w:p w:rsidR="008D3A21" w:rsidRDefault="008D3A21" w:rsidP="00393A96">
            <w:pPr>
              <w:rPr>
                <w:rFonts w:cs="Tahoma"/>
                <w:szCs w:val="22"/>
              </w:rPr>
            </w:pPr>
          </w:p>
          <w:p w:rsidR="0041135D" w:rsidRPr="000C55E9" w:rsidRDefault="0041135D" w:rsidP="0041135D">
            <w:pPr>
              <w:rPr>
                <w:rFonts w:cs="Tahoma"/>
                <w:b/>
                <w:szCs w:val="22"/>
              </w:rPr>
            </w:pPr>
            <w:r>
              <w:rPr>
                <w:rFonts w:cs="Tahoma"/>
                <w:b/>
                <w:szCs w:val="22"/>
              </w:rPr>
              <w:t>How does the consultancy relate</w:t>
            </w:r>
            <w:r w:rsidRPr="000C55E9">
              <w:rPr>
                <w:rFonts w:cs="Tahoma"/>
                <w:b/>
                <w:szCs w:val="22"/>
              </w:rPr>
              <w:t xml:space="preserve"> to work plan:</w:t>
            </w:r>
            <w:r w:rsidR="00C61F61" w:rsidRPr="009C4105">
              <w:rPr>
                <w:rFonts w:cs="Tahoma"/>
                <w:szCs w:val="22"/>
              </w:rPr>
              <w:t xml:space="preserve"> Activity in the Work Plan: “Support delivery of prevention and response </w:t>
            </w:r>
            <w:proofErr w:type="spellStart"/>
            <w:r w:rsidR="00C61F61" w:rsidRPr="009C4105">
              <w:rPr>
                <w:rFonts w:cs="Tahoma"/>
                <w:szCs w:val="22"/>
              </w:rPr>
              <w:t>CPiE</w:t>
            </w:r>
            <w:proofErr w:type="spellEnd"/>
            <w:r w:rsidR="00C61F61" w:rsidRPr="009C4105">
              <w:rPr>
                <w:rFonts w:cs="Tahoma"/>
                <w:szCs w:val="22"/>
              </w:rPr>
              <w:t xml:space="preserve"> programming in emergency areas”</w:t>
            </w:r>
          </w:p>
          <w:p w:rsidR="0041135D" w:rsidRDefault="0041135D" w:rsidP="00393A96">
            <w:pPr>
              <w:rPr>
                <w:rFonts w:cs="Tahoma"/>
                <w:b/>
                <w:szCs w:val="22"/>
              </w:rPr>
            </w:pPr>
          </w:p>
          <w:p w:rsidR="00726A4B" w:rsidRDefault="00ED05AD" w:rsidP="00393A96">
            <w:pPr>
              <w:rPr>
                <w:rFonts w:cs="Tahoma"/>
                <w:szCs w:val="22"/>
              </w:rPr>
            </w:pPr>
            <w:r w:rsidRPr="006E7AE5">
              <w:rPr>
                <w:rFonts w:cs="Tahoma"/>
                <w:b/>
                <w:szCs w:val="22"/>
              </w:rPr>
              <w:t>Outcome</w:t>
            </w:r>
            <w:r w:rsidR="00C11957" w:rsidRPr="006E7AE5">
              <w:rPr>
                <w:rFonts w:cs="Tahoma"/>
                <w:b/>
                <w:szCs w:val="22"/>
              </w:rPr>
              <w:t xml:space="preserve"> reference</w:t>
            </w:r>
            <w:r w:rsidR="00C11957" w:rsidRPr="006E7AE5">
              <w:rPr>
                <w:rFonts w:cs="Tahoma"/>
                <w:szCs w:val="22"/>
              </w:rPr>
              <w:t xml:space="preserve">: </w:t>
            </w:r>
            <w:r w:rsidR="00C61F61" w:rsidRPr="009C4105">
              <w:rPr>
                <w:snapToGrid w:val="0"/>
                <w:color w:val="000000"/>
                <w:szCs w:val="22"/>
              </w:rPr>
              <w:t>“</w:t>
            </w:r>
            <w:r w:rsidR="00C61F61" w:rsidRPr="009C4105">
              <w:rPr>
                <w:rFonts w:eastAsia="Arial Unicode MS"/>
                <w:snapToGrid w:val="0"/>
                <w:szCs w:val="22"/>
              </w:rPr>
              <w:t>Children in need of support, care and protection are identified by and have access to public social welfare system.”</w:t>
            </w:r>
          </w:p>
          <w:p w:rsidR="009C589D" w:rsidRPr="006E7AE5" w:rsidRDefault="009C589D" w:rsidP="00393A96">
            <w:pPr>
              <w:rPr>
                <w:rFonts w:cs="Tahoma"/>
                <w:szCs w:val="22"/>
              </w:rPr>
            </w:pPr>
          </w:p>
          <w:p w:rsidR="00C11957" w:rsidRDefault="009114FF" w:rsidP="00AC1BA0">
            <w:pPr>
              <w:rPr>
                <w:rFonts w:cs="Tahoma"/>
                <w:szCs w:val="22"/>
              </w:rPr>
            </w:pPr>
            <w:r w:rsidRPr="006E7AE5">
              <w:rPr>
                <w:rFonts w:cs="Tahoma"/>
                <w:b/>
                <w:szCs w:val="22"/>
              </w:rPr>
              <w:t>Output reference</w:t>
            </w:r>
            <w:r w:rsidRPr="006E7AE5">
              <w:rPr>
                <w:rFonts w:cs="Tahoma"/>
                <w:szCs w:val="22"/>
              </w:rPr>
              <w:t xml:space="preserve">: </w:t>
            </w:r>
            <w:r w:rsidR="00C61F61" w:rsidRPr="009C4105">
              <w:rPr>
                <w:rFonts w:cs="Tahoma"/>
                <w:szCs w:val="22"/>
              </w:rPr>
              <w:t>National and International standards are implemented to prevent and respond to grave violations per UNSC resolutions 1612/1882 and to contribute to ongoing peace building including responding to emergencies.</w:t>
            </w:r>
          </w:p>
          <w:p w:rsidR="000C55E9" w:rsidRDefault="000C55E9" w:rsidP="00AC1BA0">
            <w:pPr>
              <w:rPr>
                <w:rFonts w:cs="Tahoma"/>
                <w:szCs w:val="22"/>
              </w:rPr>
            </w:pPr>
          </w:p>
          <w:p w:rsidR="00897EBC" w:rsidRPr="006E7AE5" w:rsidRDefault="00897EBC" w:rsidP="00AC1BA0">
            <w:pPr>
              <w:rPr>
                <w:rFonts w:cs="Tahoma"/>
                <w:b/>
                <w:szCs w:val="22"/>
              </w:rPr>
            </w:pPr>
          </w:p>
        </w:tc>
      </w:tr>
      <w:tr w:rsidR="005077B5" w:rsidRPr="006E7AE5" w:rsidTr="00B81A5F">
        <w:trPr>
          <w:trHeight w:val="1250"/>
        </w:trPr>
        <w:tc>
          <w:tcPr>
            <w:tcW w:w="10260" w:type="dxa"/>
            <w:gridSpan w:val="3"/>
          </w:tcPr>
          <w:p w:rsidR="00C61F61" w:rsidRDefault="005077B5" w:rsidP="00C61F61">
            <w:pPr>
              <w:rPr>
                <w:rFonts w:ascii="Arial" w:hAnsi="Arial" w:cs="Arial"/>
              </w:rPr>
            </w:pPr>
            <w:r w:rsidRPr="006E7AE5">
              <w:t>Background:</w:t>
            </w:r>
            <w:r w:rsidR="00C61F61" w:rsidRPr="002F072C">
              <w:rPr>
                <w:rFonts w:ascii="Arial" w:hAnsi="Arial" w:cs="Arial"/>
              </w:rPr>
              <w:t xml:space="preserve"> </w:t>
            </w:r>
          </w:p>
          <w:p w:rsidR="00C61F61" w:rsidRDefault="00C61F61" w:rsidP="00C61F61">
            <w:pPr>
              <w:rPr>
                <w:rFonts w:ascii="Arial" w:hAnsi="Arial" w:cs="Arial"/>
              </w:rPr>
            </w:pPr>
            <w:r w:rsidRPr="002F072C">
              <w:rPr>
                <w:rFonts w:ascii="Arial" w:hAnsi="Arial" w:cs="Arial"/>
              </w:rPr>
              <w:t xml:space="preserve">On 9 October three Border Guard posts were attacked in Northern Rakhine State. Since then an army operation has been on going and has intensified after further attacks on 12/13 November. It is estimated that there are over 30 000 newly displaced people, of which half are estimated to be children.  Many of those displaced have lost their homes, including food stocks. Many have escaped across the border, into Bangladesh. These events bring an increased risk of mental health and psychosocial distress that can have negative effects on children if left unaddressed.  UNICEF has been working in Northern Rakhine with partner organisations running emergency psychosocial programmes.  With increased stressors in the area it is anticipated these activities will need to expand and develop in quality and sustainability. </w:t>
            </w:r>
          </w:p>
          <w:p w:rsidR="00C61F61" w:rsidRPr="002F072C" w:rsidRDefault="00C61F61" w:rsidP="00C61F61">
            <w:pPr>
              <w:rPr>
                <w:rFonts w:ascii="Arial" w:hAnsi="Arial" w:cs="Arial"/>
              </w:rPr>
            </w:pPr>
          </w:p>
          <w:p w:rsidR="00C61F61" w:rsidRPr="002F072C" w:rsidRDefault="00C61F61" w:rsidP="00C61F61">
            <w:pPr>
              <w:rPr>
                <w:rFonts w:ascii="Arial" w:hAnsi="Arial" w:cs="Arial"/>
              </w:rPr>
            </w:pPr>
            <w:r w:rsidRPr="002F072C">
              <w:rPr>
                <w:rFonts w:ascii="Arial" w:hAnsi="Arial" w:cs="Arial"/>
              </w:rPr>
              <w:t xml:space="preserve">These events have also had consequences in the IDP camps in Central Rakhine State, re-igniting fear among both communities which has had an impact on local trade and livelihood activities and added strain on already food insecure households. </w:t>
            </w:r>
          </w:p>
          <w:p w:rsidR="005077B5" w:rsidRPr="006E7AE5" w:rsidRDefault="005077B5" w:rsidP="00C61F61">
            <w:pPr>
              <w:pStyle w:val="ListParagraph"/>
              <w:ind w:left="342"/>
            </w:pPr>
          </w:p>
          <w:p w:rsidR="00405B72" w:rsidRPr="006E7AE5" w:rsidRDefault="00405B72" w:rsidP="00A562FA">
            <w:pPr>
              <w:rPr>
                <w:rFonts w:cs="Tahoma"/>
                <w:b/>
                <w:bCs/>
                <w:color w:val="4F81BD"/>
                <w:szCs w:val="22"/>
              </w:rPr>
            </w:pPr>
          </w:p>
        </w:tc>
      </w:tr>
      <w:tr w:rsidR="005077B5" w:rsidRPr="006E7AE5" w:rsidTr="00B81A5F">
        <w:tc>
          <w:tcPr>
            <w:tcW w:w="10260" w:type="dxa"/>
            <w:gridSpan w:val="3"/>
          </w:tcPr>
          <w:p w:rsidR="00FD5068" w:rsidRDefault="001208FA" w:rsidP="00C61F61">
            <w:pPr>
              <w:pStyle w:val="ListParagraph"/>
              <w:numPr>
                <w:ilvl w:val="0"/>
                <w:numId w:val="7"/>
              </w:numPr>
              <w:ind w:left="342" w:hanging="342"/>
            </w:pPr>
            <w:r w:rsidRPr="002B0969">
              <w:t xml:space="preserve">Objectives of the </w:t>
            </w:r>
            <w:r w:rsidR="00113CAB" w:rsidRPr="002B0969">
              <w:t>consultancy</w:t>
            </w:r>
            <w:r w:rsidR="005E373C" w:rsidRPr="002B0969">
              <w:t>:</w:t>
            </w:r>
          </w:p>
          <w:p w:rsidR="00C61F61" w:rsidRPr="002F072C" w:rsidRDefault="00C61F61" w:rsidP="00C61F61">
            <w:pPr>
              <w:rPr>
                <w:rFonts w:ascii="Arial" w:hAnsi="Arial" w:cs="Arial"/>
              </w:rPr>
            </w:pPr>
            <w:r w:rsidRPr="002F072C">
              <w:rPr>
                <w:rFonts w:ascii="Arial" w:hAnsi="Arial" w:cs="Arial"/>
              </w:rPr>
              <w:t>The main objectives of the consultancy would be twofold:</w:t>
            </w:r>
          </w:p>
          <w:p w:rsidR="00C61F61" w:rsidRPr="002F072C" w:rsidRDefault="00C61F61" w:rsidP="00C61F61">
            <w:pPr>
              <w:rPr>
                <w:rFonts w:ascii="Arial" w:hAnsi="Arial" w:cs="Arial"/>
              </w:rPr>
            </w:pPr>
            <w:r w:rsidRPr="002F072C">
              <w:rPr>
                <w:rFonts w:ascii="Arial" w:hAnsi="Arial" w:cs="Arial"/>
              </w:rPr>
              <w:t>Develop a quality MHPSS programme for children and families in emergency settings.</w:t>
            </w:r>
          </w:p>
          <w:p w:rsidR="00C61F61" w:rsidRPr="002F072C" w:rsidRDefault="00C61F61" w:rsidP="00C61F61">
            <w:pPr>
              <w:numPr>
                <w:ilvl w:val="0"/>
                <w:numId w:val="8"/>
              </w:numPr>
              <w:rPr>
                <w:rFonts w:ascii="Arial" w:hAnsi="Arial" w:cs="Arial"/>
              </w:rPr>
            </w:pPr>
            <w:r w:rsidRPr="002F072C">
              <w:rPr>
                <w:rFonts w:ascii="Arial" w:hAnsi="Arial" w:cs="Arial"/>
              </w:rPr>
              <w:t>Develop and conduct a psychosocial baseline with partners.</w:t>
            </w:r>
          </w:p>
          <w:p w:rsidR="00C61F61" w:rsidRPr="002F072C" w:rsidRDefault="00C61F61" w:rsidP="00C61F61">
            <w:pPr>
              <w:numPr>
                <w:ilvl w:val="0"/>
                <w:numId w:val="8"/>
              </w:numPr>
              <w:rPr>
                <w:rFonts w:ascii="Arial" w:hAnsi="Arial" w:cs="Arial"/>
              </w:rPr>
            </w:pPr>
            <w:r w:rsidRPr="002F072C">
              <w:rPr>
                <w:rFonts w:ascii="Arial" w:hAnsi="Arial" w:cs="Arial"/>
              </w:rPr>
              <w:t>Work with the implementing partner to develop monitoring tools for psychosocial programmes</w:t>
            </w:r>
          </w:p>
          <w:p w:rsidR="00C61F61" w:rsidRPr="002F072C" w:rsidRDefault="00C61F61" w:rsidP="00C61F61">
            <w:pPr>
              <w:numPr>
                <w:ilvl w:val="0"/>
                <w:numId w:val="8"/>
              </w:numPr>
              <w:rPr>
                <w:rFonts w:ascii="Arial" w:hAnsi="Arial" w:cs="Arial"/>
              </w:rPr>
            </w:pPr>
            <w:r w:rsidRPr="002F072C">
              <w:rPr>
                <w:rFonts w:ascii="Arial" w:hAnsi="Arial" w:cs="Arial"/>
              </w:rPr>
              <w:t>Build capacity of partner staff through supervision and monitoring of programmes giving feedback and recommendations so staff are comfortable to roll out sustainable MHPSS programming with a low resource context.</w:t>
            </w:r>
          </w:p>
          <w:p w:rsidR="00C61F61" w:rsidRPr="002F072C" w:rsidRDefault="00C61F61" w:rsidP="00C61F61">
            <w:pPr>
              <w:rPr>
                <w:rFonts w:ascii="Arial" w:hAnsi="Arial" w:cs="Arial"/>
              </w:rPr>
            </w:pPr>
            <w:r w:rsidRPr="002F072C">
              <w:rPr>
                <w:rFonts w:ascii="Arial" w:hAnsi="Arial" w:cs="Arial"/>
              </w:rPr>
              <w:t>Support the development of a sustainable support system for staff affected by psychosocial distress through capacity building of staff skills in self-care</w:t>
            </w:r>
            <w:r>
              <w:rPr>
                <w:rFonts w:ascii="Arial" w:hAnsi="Arial" w:cs="Arial"/>
              </w:rPr>
              <w:t xml:space="preserve"> and recommendations for external networks of support</w:t>
            </w:r>
            <w:r w:rsidRPr="002F072C">
              <w:rPr>
                <w:rFonts w:ascii="Arial" w:hAnsi="Arial" w:cs="Arial"/>
              </w:rPr>
              <w:t>.</w:t>
            </w:r>
          </w:p>
          <w:p w:rsidR="00C61F61" w:rsidRPr="002F072C" w:rsidRDefault="00C61F61" w:rsidP="00C61F61">
            <w:pPr>
              <w:numPr>
                <w:ilvl w:val="0"/>
                <w:numId w:val="9"/>
              </w:numPr>
              <w:rPr>
                <w:rFonts w:ascii="Arial" w:hAnsi="Arial" w:cs="Arial"/>
              </w:rPr>
            </w:pPr>
            <w:r w:rsidRPr="002F072C">
              <w:rPr>
                <w:rFonts w:ascii="Arial" w:hAnsi="Arial" w:cs="Arial"/>
              </w:rPr>
              <w:t>Complete a training in staff self-care practices</w:t>
            </w:r>
          </w:p>
          <w:p w:rsidR="00C61F61" w:rsidRPr="002F072C" w:rsidRDefault="00C61F61" w:rsidP="00C61F61">
            <w:pPr>
              <w:numPr>
                <w:ilvl w:val="0"/>
                <w:numId w:val="9"/>
              </w:numPr>
              <w:rPr>
                <w:rFonts w:ascii="Arial" w:hAnsi="Arial" w:cs="Arial"/>
              </w:rPr>
            </w:pPr>
            <w:r w:rsidRPr="002F072C">
              <w:rPr>
                <w:rFonts w:ascii="Arial" w:hAnsi="Arial" w:cs="Arial"/>
              </w:rPr>
              <w:t>Support regular staff care sessions in field locations</w:t>
            </w:r>
          </w:p>
          <w:p w:rsidR="00C61F61" w:rsidRDefault="00C61F61" w:rsidP="00C61F61">
            <w:pPr>
              <w:numPr>
                <w:ilvl w:val="0"/>
                <w:numId w:val="9"/>
              </w:numPr>
              <w:rPr>
                <w:rFonts w:ascii="Arial" w:hAnsi="Arial" w:cs="Arial"/>
              </w:rPr>
            </w:pPr>
            <w:r w:rsidRPr="002F072C">
              <w:rPr>
                <w:rFonts w:ascii="Arial" w:hAnsi="Arial" w:cs="Arial"/>
              </w:rPr>
              <w:t>Develop support materials for sustainability of staff self-care network</w:t>
            </w:r>
          </w:p>
          <w:p w:rsidR="00C61F61" w:rsidRPr="002F072C" w:rsidRDefault="00C61F61" w:rsidP="00C61F61">
            <w:pPr>
              <w:numPr>
                <w:ilvl w:val="0"/>
                <w:numId w:val="9"/>
              </w:numPr>
              <w:rPr>
                <w:rFonts w:ascii="Arial" w:hAnsi="Arial" w:cs="Arial"/>
              </w:rPr>
            </w:pPr>
            <w:r>
              <w:rPr>
                <w:rFonts w:ascii="Arial" w:hAnsi="Arial" w:cs="Arial"/>
              </w:rPr>
              <w:t xml:space="preserve">Recommendations for external options of support for staff </w:t>
            </w:r>
          </w:p>
          <w:p w:rsidR="00C61F61" w:rsidRPr="00C61F61" w:rsidRDefault="00C61F61" w:rsidP="00C61F61"/>
        </w:tc>
      </w:tr>
      <w:tr w:rsidR="005077B5" w:rsidRPr="006E7AE5" w:rsidTr="00B81A5F">
        <w:tc>
          <w:tcPr>
            <w:tcW w:w="10260" w:type="dxa"/>
            <w:gridSpan w:val="3"/>
          </w:tcPr>
          <w:p w:rsidR="002B0969" w:rsidRDefault="00FE6FEA" w:rsidP="002B0969">
            <w:pPr>
              <w:pStyle w:val="ListParagraph"/>
              <w:numPr>
                <w:ilvl w:val="0"/>
                <w:numId w:val="7"/>
              </w:numPr>
              <w:ind w:left="342" w:hanging="342"/>
              <w:rPr>
                <w:rFonts w:cs="Tahoma"/>
                <w:b w:val="0"/>
                <w:szCs w:val="22"/>
              </w:rPr>
            </w:pPr>
            <w:r w:rsidRPr="00C73548">
              <w:rPr>
                <w:rFonts w:cs="Tahoma"/>
                <w:szCs w:val="22"/>
              </w:rPr>
              <w:t>Geographic Area:</w:t>
            </w:r>
            <w:r w:rsidR="00016468" w:rsidRPr="00C73548">
              <w:rPr>
                <w:rFonts w:cs="Tahoma"/>
                <w:szCs w:val="22"/>
              </w:rPr>
              <w:t xml:space="preserve"> </w:t>
            </w:r>
            <w:r w:rsidR="00C61F61">
              <w:rPr>
                <w:rFonts w:cs="Tahoma"/>
                <w:szCs w:val="22"/>
              </w:rPr>
              <w:t xml:space="preserve"> </w:t>
            </w:r>
          </w:p>
          <w:p w:rsidR="005077B5" w:rsidRPr="002B0969" w:rsidRDefault="00C61F61">
            <w:pPr>
              <w:rPr>
                <w:szCs w:val="22"/>
              </w:rPr>
            </w:pPr>
            <w:r>
              <w:rPr>
                <w:rFonts w:ascii="Arial" w:hAnsi="Arial" w:cs="Arial"/>
                <w:sz w:val="20"/>
              </w:rPr>
              <w:t xml:space="preserve">Based in northern Rakhine, or travel from </w:t>
            </w:r>
            <w:proofErr w:type="spellStart"/>
            <w:r>
              <w:rPr>
                <w:rFonts w:ascii="Arial" w:hAnsi="Arial" w:cs="Arial"/>
                <w:sz w:val="20"/>
              </w:rPr>
              <w:t>Sittwe</w:t>
            </w:r>
            <w:proofErr w:type="spellEnd"/>
            <w:r>
              <w:rPr>
                <w:rFonts w:ascii="Arial" w:hAnsi="Arial" w:cs="Arial"/>
                <w:sz w:val="20"/>
              </w:rPr>
              <w:t>, dependant on access.</w:t>
            </w:r>
          </w:p>
        </w:tc>
      </w:tr>
      <w:tr w:rsidR="005077B5" w:rsidRPr="006E7AE5" w:rsidTr="00B81A5F">
        <w:tc>
          <w:tcPr>
            <w:tcW w:w="10260" w:type="dxa"/>
            <w:gridSpan w:val="3"/>
          </w:tcPr>
          <w:p w:rsidR="002B0969" w:rsidRDefault="005077B5" w:rsidP="002B0969">
            <w:pPr>
              <w:pStyle w:val="ListParagraph"/>
              <w:numPr>
                <w:ilvl w:val="0"/>
                <w:numId w:val="7"/>
              </w:numPr>
              <w:ind w:left="342" w:hanging="342"/>
              <w:rPr>
                <w:rFonts w:cs="Tahoma"/>
                <w:szCs w:val="22"/>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p>
          <w:p w:rsidR="00C61F61" w:rsidRPr="00C61F61" w:rsidRDefault="00C61F61" w:rsidP="00C61F61">
            <w:r>
              <w:rPr>
                <w:rFonts w:ascii="Arial" w:hAnsi="Arial" w:cs="Arial"/>
                <w:sz w:val="20"/>
              </w:rPr>
              <w:lastRenderedPageBreak/>
              <w:t>The consultancy is planned for 70 days with potential for extension pending funding.  The consultancy will be full time.</w:t>
            </w:r>
          </w:p>
          <w:p w:rsidR="008529F3" w:rsidRPr="009C589D" w:rsidRDefault="008529F3">
            <w:pPr>
              <w:rPr>
                <w:i/>
              </w:rPr>
            </w:pPr>
          </w:p>
        </w:tc>
      </w:tr>
      <w:tr w:rsidR="005077B5" w:rsidRPr="006E7AE5" w:rsidTr="00B81A5F">
        <w:tc>
          <w:tcPr>
            <w:tcW w:w="10260" w:type="dxa"/>
            <w:gridSpan w:val="3"/>
          </w:tcPr>
          <w:p w:rsidR="002B0969" w:rsidRPr="002B0969" w:rsidRDefault="005077B5" w:rsidP="002B0969">
            <w:pPr>
              <w:pStyle w:val="ListParagraph"/>
              <w:numPr>
                <w:ilvl w:val="0"/>
                <w:numId w:val="7"/>
              </w:numPr>
              <w:ind w:left="342" w:hanging="342"/>
              <w:rPr>
                <w:rFonts w:cs="Tahoma"/>
                <w:szCs w:val="22"/>
              </w:rPr>
            </w:pPr>
            <w:r w:rsidRPr="002B0969">
              <w:rPr>
                <w:rFonts w:cs="Tahoma"/>
                <w:szCs w:val="22"/>
              </w:rPr>
              <w:lastRenderedPageBreak/>
              <w:t>Supervisor</w:t>
            </w:r>
            <w:r w:rsidR="00E40E0D" w:rsidRPr="002B0969">
              <w:rPr>
                <w:rFonts w:cs="Tahoma"/>
                <w:szCs w:val="22"/>
              </w:rPr>
              <w:t>:</w:t>
            </w:r>
            <w:r w:rsidR="00E5124D" w:rsidRPr="002B0969">
              <w:rPr>
                <w:rFonts w:cs="Tahoma"/>
                <w:szCs w:val="22"/>
              </w:rPr>
              <w:t xml:space="preserve"> </w:t>
            </w:r>
            <w:r w:rsidR="00C61F61">
              <w:rPr>
                <w:rFonts w:cs="Tahoma"/>
                <w:szCs w:val="22"/>
              </w:rPr>
              <w:t>Lindsay Shearer</w:t>
            </w:r>
          </w:p>
          <w:p w:rsidR="005077B5" w:rsidRPr="002B0969" w:rsidRDefault="005077B5" w:rsidP="009474EF"/>
        </w:tc>
      </w:tr>
      <w:tr w:rsidR="00E40E0D" w:rsidRPr="006E7AE5" w:rsidTr="00B81A5F">
        <w:tc>
          <w:tcPr>
            <w:tcW w:w="10260" w:type="dxa"/>
            <w:gridSpan w:val="3"/>
          </w:tcPr>
          <w:p w:rsidR="002B0969" w:rsidRPr="002B0969" w:rsidRDefault="00E40E0D" w:rsidP="002B0969">
            <w:pPr>
              <w:pStyle w:val="ListParagraph"/>
              <w:numPr>
                <w:ilvl w:val="0"/>
                <w:numId w:val="7"/>
              </w:numPr>
              <w:ind w:left="342" w:hanging="342"/>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r w:rsidR="00C61F61" w:rsidRPr="00094CA4">
              <w:rPr>
                <w:rFonts w:ascii="Arial" w:hAnsi="Arial" w:cs="Arial"/>
                <w:b w:val="0"/>
                <w:sz w:val="20"/>
              </w:rPr>
              <w:t xml:space="preserve">Day-to-day support will be provided by the </w:t>
            </w:r>
            <w:r w:rsidR="00C61F61">
              <w:rPr>
                <w:rFonts w:ascii="Arial" w:hAnsi="Arial" w:cs="Arial"/>
                <w:b w:val="0"/>
                <w:sz w:val="20"/>
              </w:rPr>
              <w:t>CP</w:t>
            </w:r>
            <w:r w:rsidR="00C61F61" w:rsidRPr="00094CA4">
              <w:rPr>
                <w:rFonts w:ascii="Arial" w:hAnsi="Arial" w:cs="Arial"/>
                <w:b w:val="0"/>
                <w:sz w:val="20"/>
              </w:rPr>
              <w:t xml:space="preserve"> Specialist in Myanmar CO.</w:t>
            </w:r>
          </w:p>
          <w:p w:rsidR="006F34DE" w:rsidRPr="002B0969" w:rsidRDefault="006F34DE" w:rsidP="009474EF"/>
        </w:tc>
      </w:tr>
      <w:tr w:rsidR="003C4533" w:rsidRPr="006E7AE5" w:rsidTr="00B81A5F">
        <w:trPr>
          <w:trHeight w:val="269"/>
        </w:trPr>
        <w:tc>
          <w:tcPr>
            <w:tcW w:w="10260" w:type="dxa"/>
            <w:gridSpan w:val="3"/>
            <w:tcBorders>
              <w:bottom w:val="nil"/>
            </w:tcBorders>
          </w:tcPr>
          <w:p w:rsidR="004F3D9C" w:rsidRDefault="003C4533" w:rsidP="002B0969">
            <w:pPr>
              <w:pStyle w:val="ListParagraph"/>
              <w:numPr>
                <w:ilvl w:val="0"/>
                <w:numId w:val="7"/>
              </w:numPr>
              <w:ind w:left="342" w:hanging="342"/>
            </w:pPr>
            <w:r w:rsidRPr="006E7AE5">
              <w:t>Description of assignment:</w:t>
            </w:r>
          </w:p>
          <w:p w:rsidR="00421D69" w:rsidRPr="00421D69" w:rsidRDefault="00421D69" w:rsidP="00421D69"/>
        </w:tc>
      </w:tr>
      <w:tr w:rsidR="00FE6FEA" w:rsidRPr="006E7AE5" w:rsidTr="00B81A5F">
        <w:trPr>
          <w:trHeight w:val="269"/>
        </w:trPr>
        <w:tc>
          <w:tcPr>
            <w:tcW w:w="4230" w:type="dxa"/>
            <w:tcBorders>
              <w:top w:val="nil"/>
              <w:bottom w:val="single" w:sz="4" w:space="0" w:color="auto"/>
            </w:tcBorders>
          </w:tcPr>
          <w:p w:rsidR="00FE6FEA" w:rsidRPr="006E7AE5" w:rsidRDefault="00FE6FEA" w:rsidP="00D73159">
            <w:pPr>
              <w:jc w:val="center"/>
              <w:rPr>
                <w:rFonts w:cs="Tahoma"/>
                <w:b/>
                <w:szCs w:val="22"/>
              </w:rPr>
            </w:pPr>
            <w:r w:rsidRPr="006E7AE5">
              <w:rPr>
                <w:rFonts w:cs="Tahoma"/>
                <w:b/>
                <w:szCs w:val="22"/>
              </w:rPr>
              <w:t>Tasks</w:t>
            </w:r>
          </w:p>
        </w:tc>
        <w:tc>
          <w:tcPr>
            <w:tcW w:w="4320" w:type="dxa"/>
            <w:tcBorders>
              <w:top w:val="nil"/>
              <w:bottom w:val="single" w:sz="4" w:space="0" w:color="auto"/>
            </w:tcBorders>
          </w:tcPr>
          <w:p w:rsidR="00FE6FEA" w:rsidRPr="006E7AE5" w:rsidRDefault="00FE6FEA" w:rsidP="00D73159">
            <w:pPr>
              <w:jc w:val="center"/>
              <w:rPr>
                <w:rFonts w:cs="Tahoma"/>
                <w:b/>
                <w:szCs w:val="22"/>
              </w:rPr>
            </w:pPr>
            <w:r w:rsidRPr="006E7AE5">
              <w:rPr>
                <w:rFonts w:cs="Tahoma"/>
                <w:b/>
                <w:szCs w:val="22"/>
              </w:rPr>
              <w:t>End Product/deliverables</w:t>
            </w:r>
          </w:p>
        </w:tc>
        <w:tc>
          <w:tcPr>
            <w:tcW w:w="1710" w:type="dxa"/>
            <w:tcBorders>
              <w:top w:val="nil"/>
              <w:bottom w:val="single" w:sz="4" w:space="0" w:color="auto"/>
            </w:tcBorders>
          </w:tcPr>
          <w:p w:rsidR="00C11957" w:rsidRPr="006E7AE5" w:rsidRDefault="00C11957" w:rsidP="00D73159">
            <w:pPr>
              <w:jc w:val="center"/>
              <w:rPr>
                <w:rFonts w:cs="Tahoma"/>
                <w:b/>
                <w:szCs w:val="22"/>
              </w:rPr>
            </w:pPr>
            <w:r w:rsidRPr="006E7AE5">
              <w:rPr>
                <w:rFonts w:cs="Tahoma"/>
                <w:b/>
                <w:szCs w:val="22"/>
              </w:rPr>
              <w:t>Duration/</w:t>
            </w:r>
          </w:p>
          <w:p w:rsidR="00FE6FEA" w:rsidRPr="006E7AE5" w:rsidRDefault="000D6D3E" w:rsidP="00D73159">
            <w:pPr>
              <w:jc w:val="center"/>
              <w:rPr>
                <w:rFonts w:cs="Tahoma"/>
                <w:b/>
                <w:szCs w:val="22"/>
              </w:rPr>
            </w:pPr>
            <w:r w:rsidRPr="006E7AE5">
              <w:rPr>
                <w:rFonts w:cs="Tahoma"/>
                <w:b/>
                <w:szCs w:val="22"/>
              </w:rPr>
              <w:t>Deadline</w:t>
            </w:r>
          </w:p>
        </w:tc>
      </w:tr>
      <w:tr w:rsidR="00C61F61" w:rsidRPr="006E7AE5" w:rsidTr="00D7626A">
        <w:trPr>
          <w:trHeight w:val="1034"/>
        </w:trPr>
        <w:tc>
          <w:tcPr>
            <w:tcW w:w="4230" w:type="dxa"/>
            <w:vAlign w:val="center"/>
          </w:tcPr>
          <w:p w:rsidR="00C61F61" w:rsidRPr="002F072C" w:rsidRDefault="00C61F61" w:rsidP="00C61F61">
            <w:pPr>
              <w:pStyle w:val="ListParagraph"/>
              <w:spacing w:before="0" w:after="200" w:line="276" w:lineRule="auto"/>
              <w:jc w:val="left"/>
              <w:rPr>
                <w:rFonts w:ascii="Arial" w:hAnsi="Arial" w:cs="Arial"/>
                <w:b w:val="0"/>
                <w:sz w:val="20"/>
              </w:rPr>
            </w:pPr>
            <w:r w:rsidRPr="002F072C">
              <w:rPr>
                <w:rFonts w:ascii="Arial" w:hAnsi="Arial" w:cs="Arial"/>
                <w:b w:val="0"/>
                <w:sz w:val="20"/>
              </w:rPr>
              <w:t>1a) Develop and conduct a psychosocial baseline with partners.</w:t>
            </w:r>
          </w:p>
          <w:p w:rsidR="00C61F61" w:rsidRPr="002F072C" w:rsidRDefault="00C61F61" w:rsidP="00C61F61">
            <w:pPr>
              <w:pStyle w:val="ListParagraph"/>
              <w:jc w:val="left"/>
              <w:rPr>
                <w:rFonts w:ascii="Arial" w:hAnsi="Arial" w:cs="Arial"/>
                <w:b w:val="0"/>
                <w:sz w:val="20"/>
              </w:rPr>
            </w:pPr>
          </w:p>
        </w:tc>
        <w:tc>
          <w:tcPr>
            <w:tcW w:w="4320" w:type="dxa"/>
            <w:vAlign w:val="center"/>
          </w:tcPr>
          <w:p w:rsidR="00C61F61" w:rsidRPr="002F072C" w:rsidRDefault="00C61F61" w:rsidP="00C61F61">
            <w:pPr>
              <w:numPr>
                <w:ilvl w:val="0"/>
                <w:numId w:val="10"/>
              </w:numPr>
              <w:spacing w:line="276" w:lineRule="auto"/>
              <w:jc w:val="left"/>
              <w:rPr>
                <w:rFonts w:ascii="Arial" w:hAnsi="Arial" w:cs="Arial"/>
                <w:sz w:val="20"/>
                <w:u w:val="single"/>
              </w:rPr>
            </w:pPr>
            <w:r w:rsidRPr="002F072C">
              <w:rPr>
                <w:rFonts w:ascii="Arial" w:hAnsi="Arial" w:cs="Arial"/>
                <w:sz w:val="20"/>
              </w:rPr>
              <w:t xml:space="preserve">Baseline report on psychosocial conditions of children in targeted communities in northern Rakhine. </w:t>
            </w:r>
          </w:p>
          <w:p w:rsidR="00C61F61" w:rsidRPr="002F072C" w:rsidRDefault="00C61F61" w:rsidP="00C61F61">
            <w:pPr>
              <w:autoSpaceDE w:val="0"/>
              <w:autoSpaceDN w:val="0"/>
              <w:adjustRightInd w:val="0"/>
              <w:jc w:val="left"/>
              <w:rPr>
                <w:rFonts w:ascii="Arial" w:hAnsi="Arial" w:cs="Arial"/>
                <w:sz w:val="20"/>
                <w:lang w:eastAsia="ru-RU"/>
              </w:rPr>
            </w:pPr>
          </w:p>
        </w:tc>
        <w:tc>
          <w:tcPr>
            <w:tcW w:w="1710" w:type="dxa"/>
            <w:vAlign w:val="center"/>
          </w:tcPr>
          <w:p w:rsidR="00C61F61" w:rsidRPr="00094CA4" w:rsidRDefault="00C61F61" w:rsidP="00C61F61">
            <w:pPr>
              <w:autoSpaceDE w:val="0"/>
              <w:autoSpaceDN w:val="0"/>
              <w:adjustRightInd w:val="0"/>
              <w:jc w:val="left"/>
              <w:rPr>
                <w:rFonts w:ascii="Arial" w:hAnsi="Arial" w:cs="Arial"/>
                <w:sz w:val="20"/>
                <w:lang w:eastAsia="ru-RU"/>
              </w:rPr>
            </w:pPr>
            <w:r>
              <w:rPr>
                <w:rFonts w:ascii="Arial" w:hAnsi="Arial" w:cs="Arial"/>
                <w:sz w:val="20"/>
                <w:lang w:eastAsia="ru-RU"/>
              </w:rPr>
              <w:t>First 2 weeks</w:t>
            </w:r>
          </w:p>
        </w:tc>
      </w:tr>
      <w:tr w:rsidR="00C61F61" w:rsidRPr="006E7AE5" w:rsidTr="00D7626A">
        <w:trPr>
          <w:trHeight w:val="1034"/>
        </w:trPr>
        <w:tc>
          <w:tcPr>
            <w:tcW w:w="4230" w:type="dxa"/>
            <w:vAlign w:val="center"/>
          </w:tcPr>
          <w:p w:rsidR="00C61F61" w:rsidRPr="002F072C" w:rsidRDefault="00C61F61" w:rsidP="00C61F61">
            <w:pPr>
              <w:spacing w:line="276" w:lineRule="auto"/>
              <w:jc w:val="left"/>
              <w:rPr>
                <w:rFonts w:ascii="Arial" w:hAnsi="Arial" w:cs="Arial"/>
                <w:sz w:val="20"/>
                <w:u w:val="single"/>
              </w:rPr>
            </w:pPr>
            <w:r w:rsidRPr="002F072C">
              <w:rPr>
                <w:rFonts w:ascii="Arial" w:hAnsi="Arial" w:cs="Arial"/>
                <w:sz w:val="20"/>
              </w:rPr>
              <w:t>1b)Contextualisation and implementation a MHPSS toolkit that can work in low resource contexts with children and families</w:t>
            </w:r>
          </w:p>
          <w:p w:rsidR="00C61F61" w:rsidRPr="002F072C" w:rsidRDefault="00C61F61" w:rsidP="00C61F61">
            <w:pPr>
              <w:pStyle w:val="ListParagraph"/>
              <w:spacing w:before="0" w:after="200" w:line="276" w:lineRule="auto"/>
              <w:ind w:left="720"/>
              <w:jc w:val="left"/>
              <w:rPr>
                <w:rFonts w:ascii="Arial" w:hAnsi="Arial" w:cs="Arial"/>
                <w:b w:val="0"/>
                <w:sz w:val="20"/>
              </w:rPr>
            </w:pPr>
          </w:p>
        </w:tc>
        <w:tc>
          <w:tcPr>
            <w:tcW w:w="4320" w:type="dxa"/>
            <w:vAlign w:val="center"/>
          </w:tcPr>
          <w:p w:rsidR="00C61F61" w:rsidRPr="002F072C" w:rsidRDefault="00C61F61" w:rsidP="00C61F61">
            <w:pPr>
              <w:pStyle w:val="ListParagraph"/>
              <w:numPr>
                <w:ilvl w:val="0"/>
                <w:numId w:val="10"/>
              </w:numPr>
              <w:jc w:val="left"/>
              <w:rPr>
                <w:rFonts w:ascii="Arial" w:hAnsi="Arial" w:cs="Arial"/>
                <w:b w:val="0"/>
                <w:sz w:val="20"/>
                <w:lang w:eastAsia="ru-RU"/>
              </w:rPr>
            </w:pPr>
            <w:r w:rsidRPr="002F072C">
              <w:rPr>
                <w:rFonts w:ascii="Arial" w:hAnsi="Arial" w:cs="Arial"/>
                <w:b w:val="0"/>
                <w:sz w:val="20"/>
                <w:lang w:eastAsia="ru-RU"/>
              </w:rPr>
              <w:t>Toolkit prepared and translated into appropriate language</w:t>
            </w:r>
          </w:p>
        </w:tc>
        <w:tc>
          <w:tcPr>
            <w:tcW w:w="1710" w:type="dxa"/>
            <w:vAlign w:val="center"/>
          </w:tcPr>
          <w:p w:rsidR="00C61F61" w:rsidRPr="003155F4" w:rsidRDefault="00C61F61" w:rsidP="00C61F61">
            <w:pPr>
              <w:pStyle w:val="ListParagraph"/>
              <w:numPr>
                <w:ilvl w:val="0"/>
                <w:numId w:val="11"/>
              </w:numPr>
              <w:autoSpaceDE w:val="0"/>
              <w:autoSpaceDN w:val="0"/>
              <w:adjustRightInd w:val="0"/>
              <w:jc w:val="left"/>
              <w:rPr>
                <w:rFonts w:ascii="Arial" w:hAnsi="Arial" w:cs="Arial"/>
                <w:sz w:val="20"/>
                <w:lang w:eastAsia="ru-RU"/>
              </w:rPr>
            </w:pPr>
            <w:r w:rsidRPr="003155F4">
              <w:rPr>
                <w:rFonts w:ascii="Arial" w:hAnsi="Arial" w:cs="Arial"/>
                <w:sz w:val="20"/>
                <w:lang w:eastAsia="ru-RU"/>
              </w:rPr>
              <w:t>weeks</w:t>
            </w:r>
          </w:p>
        </w:tc>
      </w:tr>
      <w:tr w:rsidR="00C61F61" w:rsidRPr="006E7AE5" w:rsidTr="00D7626A">
        <w:trPr>
          <w:trHeight w:val="512"/>
        </w:trPr>
        <w:tc>
          <w:tcPr>
            <w:tcW w:w="4230" w:type="dxa"/>
            <w:tcBorders>
              <w:bottom w:val="single" w:sz="4" w:space="0" w:color="auto"/>
            </w:tcBorders>
            <w:vAlign w:val="center"/>
          </w:tcPr>
          <w:p w:rsidR="00C61F61" w:rsidRPr="002F072C" w:rsidRDefault="00C61F61" w:rsidP="00C61F61">
            <w:pPr>
              <w:pStyle w:val="ListParagraph"/>
              <w:spacing w:before="0" w:after="200" w:line="276" w:lineRule="auto"/>
              <w:jc w:val="left"/>
              <w:rPr>
                <w:rFonts w:ascii="Arial" w:hAnsi="Arial" w:cs="Arial"/>
                <w:b w:val="0"/>
                <w:sz w:val="20"/>
              </w:rPr>
            </w:pPr>
            <w:r w:rsidRPr="002F072C">
              <w:rPr>
                <w:rFonts w:ascii="Arial" w:hAnsi="Arial" w:cs="Arial"/>
                <w:b w:val="0"/>
                <w:sz w:val="20"/>
              </w:rPr>
              <w:t>1c)Work with the implementing partner to develop monitoring tools for psychosocial programmes</w:t>
            </w:r>
          </w:p>
          <w:p w:rsidR="00C61F61" w:rsidRPr="002F072C" w:rsidRDefault="00C61F61" w:rsidP="00C61F61">
            <w:pPr>
              <w:pStyle w:val="ListParagraph"/>
              <w:jc w:val="left"/>
              <w:rPr>
                <w:rFonts w:ascii="Arial" w:hAnsi="Arial" w:cs="Arial"/>
                <w:b w:val="0"/>
                <w:sz w:val="20"/>
              </w:rPr>
            </w:pPr>
          </w:p>
        </w:tc>
        <w:tc>
          <w:tcPr>
            <w:tcW w:w="4320" w:type="dxa"/>
            <w:tcBorders>
              <w:bottom w:val="single" w:sz="4" w:space="0" w:color="auto"/>
            </w:tcBorders>
            <w:vAlign w:val="center"/>
          </w:tcPr>
          <w:p w:rsidR="00C61F61" w:rsidRPr="002F072C" w:rsidRDefault="00C61F61" w:rsidP="00C61F61">
            <w:pPr>
              <w:pStyle w:val="ListParagraph"/>
              <w:numPr>
                <w:ilvl w:val="0"/>
                <w:numId w:val="10"/>
              </w:numPr>
              <w:autoSpaceDE w:val="0"/>
              <w:autoSpaceDN w:val="0"/>
              <w:adjustRightInd w:val="0"/>
              <w:jc w:val="left"/>
              <w:rPr>
                <w:rFonts w:ascii="Arial" w:hAnsi="Arial" w:cs="Arial"/>
                <w:b w:val="0"/>
                <w:sz w:val="20"/>
                <w:shd w:val="clear" w:color="auto" w:fill="FFFF00"/>
                <w:lang w:eastAsia="ru-RU"/>
              </w:rPr>
            </w:pPr>
            <w:r w:rsidRPr="002F072C">
              <w:rPr>
                <w:rFonts w:ascii="Arial" w:hAnsi="Arial" w:cs="Arial"/>
                <w:b w:val="0"/>
                <w:sz w:val="20"/>
              </w:rPr>
              <w:t>Psychosocial Monitoring tools and analysis developed and implemented in target communities</w:t>
            </w:r>
          </w:p>
        </w:tc>
        <w:tc>
          <w:tcPr>
            <w:tcW w:w="1710" w:type="dxa"/>
            <w:tcBorders>
              <w:bottom w:val="single" w:sz="4" w:space="0" w:color="auto"/>
            </w:tcBorders>
            <w:vAlign w:val="center"/>
          </w:tcPr>
          <w:p w:rsidR="00C61F61" w:rsidRPr="00094CA4" w:rsidRDefault="00C61F61" w:rsidP="00C61F61">
            <w:pPr>
              <w:autoSpaceDE w:val="0"/>
              <w:autoSpaceDN w:val="0"/>
              <w:adjustRightInd w:val="0"/>
              <w:jc w:val="left"/>
              <w:rPr>
                <w:rFonts w:ascii="Arial" w:hAnsi="Arial" w:cs="Arial"/>
                <w:sz w:val="20"/>
                <w:lang w:eastAsia="ru-RU"/>
              </w:rPr>
            </w:pPr>
            <w:r>
              <w:rPr>
                <w:rFonts w:ascii="Arial" w:hAnsi="Arial" w:cs="Arial"/>
                <w:sz w:val="20"/>
                <w:lang w:eastAsia="ru-RU"/>
              </w:rPr>
              <w:t>8 weeks</w:t>
            </w:r>
          </w:p>
        </w:tc>
      </w:tr>
      <w:tr w:rsidR="00C61F61" w:rsidRPr="006E7AE5" w:rsidTr="00D7626A">
        <w:trPr>
          <w:trHeight w:val="512"/>
        </w:trPr>
        <w:tc>
          <w:tcPr>
            <w:tcW w:w="4230" w:type="dxa"/>
            <w:tcBorders>
              <w:bottom w:val="single" w:sz="4" w:space="0" w:color="auto"/>
            </w:tcBorders>
            <w:vAlign w:val="center"/>
          </w:tcPr>
          <w:p w:rsidR="00C61F61" w:rsidRPr="002F072C" w:rsidRDefault="00C61F61" w:rsidP="00C61F61">
            <w:pPr>
              <w:pStyle w:val="ListParagraph"/>
              <w:numPr>
                <w:ilvl w:val="0"/>
                <w:numId w:val="12"/>
              </w:numPr>
              <w:rPr>
                <w:rFonts w:ascii="Arial" w:hAnsi="Arial" w:cs="Arial"/>
                <w:sz w:val="20"/>
              </w:rPr>
            </w:pPr>
            <w:r w:rsidRPr="002F072C">
              <w:rPr>
                <w:rFonts w:ascii="Arial" w:hAnsi="Arial" w:cs="Arial"/>
                <w:sz w:val="20"/>
              </w:rPr>
              <w:t>Support the development of a sustainable support system for staff affected by psychosocial distress through capacity building of staff skills in self-care.</w:t>
            </w:r>
          </w:p>
          <w:p w:rsidR="00C61F61" w:rsidRPr="002F072C" w:rsidRDefault="00C61F61" w:rsidP="00C61F61">
            <w:pPr>
              <w:pStyle w:val="ListParagraph"/>
              <w:ind w:left="360"/>
              <w:jc w:val="left"/>
              <w:rPr>
                <w:rFonts w:ascii="Arial" w:hAnsi="Arial" w:cs="Arial"/>
                <w:sz w:val="20"/>
              </w:rPr>
            </w:pPr>
          </w:p>
        </w:tc>
        <w:tc>
          <w:tcPr>
            <w:tcW w:w="4320" w:type="dxa"/>
            <w:tcBorders>
              <w:bottom w:val="single" w:sz="4" w:space="0" w:color="auto"/>
            </w:tcBorders>
            <w:vAlign w:val="center"/>
          </w:tcPr>
          <w:p w:rsidR="00C61F61" w:rsidRPr="002F072C" w:rsidRDefault="00C61F61" w:rsidP="00C61F61">
            <w:pPr>
              <w:autoSpaceDE w:val="0"/>
              <w:autoSpaceDN w:val="0"/>
              <w:adjustRightInd w:val="0"/>
              <w:jc w:val="left"/>
              <w:rPr>
                <w:rFonts w:ascii="Arial" w:hAnsi="Arial" w:cs="Arial"/>
                <w:sz w:val="20"/>
                <w:lang w:eastAsia="ru-RU"/>
              </w:rPr>
            </w:pPr>
          </w:p>
        </w:tc>
        <w:tc>
          <w:tcPr>
            <w:tcW w:w="1710" w:type="dxa"/>
            <w:tcBorders>
              <w:bottom w:val="single" w:sz="4" w:space="0" w:color="auto"/>
            </w:tcBorders>
            <w:vAlign w:val="center"/>
          </w:tcPr>
          <w:p w:rsidR="00C61F61" w:rsidRPr="00094CA4" w:rsidRDefault="00C61F61" w:rsidP="00C61F61">
            <w:pPr>
              <w:autoSpaceDE w:val="0"/>
              <w:autoSpaceDN w:val="0"/>
              <w:adjustRightInd w:val="0"/>
              <w:jc w:val="left"/>
              <w:rPr>
                <w:rFonts w:ascii="Arial" w:hAnsi="Arial" w:cs="Arial"/>
                <w:sz w:val="20"/>
                <w:lang w:eastAsia="ru-RU"/>
              </w:rPr>
            </w:pPr>
          </w:p>
        </w:tc>
      </w:tr>
      <w:tr w:rsidR="00C61F61" w:rsidRPr="006E7AE5" w:rsidTr="00D7626A">
        <w:trPr>
          <w:trHeight w:val="512"/>
        </w:trPr>
        <w:tc>
          <w:tcPr>
            <w:tcW w:w="4230" w:type="dxa"/>
            <w:tcBorders>
              <w:bottom w:val="single" w:sz="4" w:space="0" w:color="auto"/>
            </w:tcBorders>
            <w:vAlign w:val="center"/>
          </w:tcPr>
          <w:p w:rsidR="00C61F61" w:rsidRPr="002F072C" w:rsidRDefault="00C61F61" w:rsidP="00C61F61">
            <w:pPr>
              <w:pStyle w:val="ListParagraph"/>
              <w:spacing w:before="0" w:after="200" w:line="276" w:lineRule="auto"/>
              <w:jc w:val="left"/>
              <w:rPr>
                <w:rFonts w:ascii="Arial" w:hAnsi="Arial" w:cs="Arial"/>
                <w:b w:val="0"/>
                <w:sz w:val="20"/>
              </w:rPr>
            </w:pPr>
            <w:r w:rsidRPr="002F072C">
              <w:rPr>
                <w:rFonts w:ascii="Arial" w:hAnsi="Arial" w:cs="Arial"/>
                <w:b w:val="0"/>
                <w:sz w:val="20"/>
              </w:rPr>
              <w:t>2a) Complete a training in staff self-care practices</w:t>
            </w:r>
          </w:p>
          <w:p w:rsidR="00C61F61" w:rsidRPr="002F072C" w:rsidRDefault="00C61F61" w:rsidP="00C61F61">
            <w:pPr>
              <w:pStyle w:val="ListParagraph"/>
              <w:jc w:val="left"/>
              <w:rPr>
                <w:rFonts w:ascii="Arial" w:hAnsi="Arial" w:cs="Arial"/>
                <w:b w:val="0"/>
                <w:sz w:val="20"/>
              </w:rPr>
            </w:pPr>
          </w:p>
        </w:tc>
        <w:tc>
          <w:tcPr>
            <w:tcW w:w="4320" w:type="dxa"/>
            <w:tcBorders>
              <w:bottom w:val="single" w:sz="4" w:space="0" w:color="auto"/>
            </w:tcBorders>
            <w:vAlign w:val="center"/>
          </w:tcPr>
          <w:p w:rsidR="00C61F61" w:rsidRPr="002F072C" w:rsidRDefault="00C61F61" w:rsidP="00C61F61">
            <w:pPr>
              <w:pStyle w:val="ListParagraph"/>
              <w:numPr>
                <w:ilvl w:val="0"/>
                <w:numId w:val="10"/>
              </w:numPr>
              <w:autoSpaceDE w:val="0"/>
              <w:autoSpaceDN w:val="0"/>
              <w:adjustRightInd w:val="0"/>
              <w:jc w:val="left"/>
              <w:rPr>
                <w:rFonts w:ascii="Arial" w:hAnsi="Arial" w:cs="Arial"/>
                <w:b w:val="0"/>
                <w:sz w:val="20"/>
                <w:lang w:eastAsia="ru-RU"/>
              </w:rPr>
            </w:pPr>
            <w:r w:rsidRPr="002F072C">
              <w:rPr>
                <w:rFonts w:ascii="Arial" w:hAnsi="Arial" w:cs="Arial"/>
                <w:b w:val="0"/>
                <w:sz w:val="20"/>
                <w:lang w:eastAsia="ru-RU"/>
              </w:rPr>
              <w:t>Field report is completed</w:t>
            </w:r>
          </w:p>
        </w:tc>
        <w:tc>
          <w:tcPr>
            <w:tcW w:w="1710" w:type="dxa"/>
            <w:tcBorders>
              <w:bottom w:val="single" w:sz="4" w:space="0" w:color="auto"/>
            </w:tcBorders>
            <w:vAlign w:val="center"/>
          </w:tcPr>
          <w:p w:rsidR="00C61F61" w:rsidRPr="00094CA4" w:rsidRDefault="00C61F61" w:rsidP="00C61F61">
            <w:pPr>
              <w:autoSpaceDE w:val="0"/>
              <w:autoSpaceDN w:val="0"/>
              <w:adjustRightInd w:val="0"/>
              <w:jc w:val="left"/>
              <w:rPr>
                <w:rFonts w:ascii="Arial" w:hAnsi="Arial" w:cs="Arial"/>
                <w:sz w:val="20"/>
                <w:lang w:eastAsia="ru-RU"/>
              </w:rPr>
            </w:pPr>
            <w:r>
              <w:rPr>
                <w:rFonts w:ascii="Arial" w:hAnsi="Arial" w:cs="Arial"/>
                <w:sz w:val="20"/>
                <w:lang w:eastAsia="ru-RU"/>
              </w:rPr>
              <w:t>Within 3 weeks</w:t>
            </w:r>
          </w:p>
        </w:tc>
      </w:tr>
      <w:tr w:rsidR="00C61F61" w:rsidRPr="006E7AE5" w:rsidTr="00D7626A">
        <w:trPr>
          <w:trHeight w:val="512"/>
        </w:trPr>
        <w:tc>
          <w:tcPr>
            <w:tcW w:w="4230" w:type="dxa"/>
            <w:tcBorders>
              <w:bottom w:val="single" w:sz="4" w:space="0" w:color="auto"/>
            </w:tcBorders>
            <w:vAlign w:val="center"/>
          </w:tcPr>
          <w:p w:rsidR="00C61F61" w:rsidRPr="002F072C" w:rsidRDefault="00C61F61" w:rsidP="00C61F61">
            <w:pPr>
              <w:pStyle w:val="ListParagraph"/>
              <w:spacing w:before="0" w:after="200" w:line="276" w:lineRule="auto"/>
              <w:jc w:val="left"/>
              <w:rPr>
                <w:rFonts w:ascii="Arial" w:hAnsi="Arial" w:cs="Arial"/>
                <w:b w:val="0"/>
                <w:sz w:val="20"/>
              </w:rPr>
            </w:pPr>
            <w:r w:rsidRPr="002F072C">
              <w:rPr>
                <w:rFonts w:ascii="Arial" w:hAnsi="Arial" w:cs="Arial"/>
                <w:b w:val="0"/>
                <w:sz w:val="20"/>
              </w:rPr>
              <w:t>2b) Support regular staff care sessions in field locations</w:t>
            </w:r>
          </w:p>
          <w:p w:rsidR="00C61F61" w:rsidRPr="002F072C" w:rsidRDefault="00C61F61" w:rsidP="00C61F61">
            <w:pPr>
              <w:jc w:val="left"/>
              <w:rPr>
                <w:rFonts w:ascii="Arial" w:hAnsi="Arial" w:cs="Arial"/>
                <w:sz w:val="20"/>
              </w:rPr>
            </w:pPr>
          </w:p>
        </w:tc>
        <w:tc>
          <w:tcPr>
            <w:tcW w:w="4320" w:type="dxa"/>
            <w:tcBorders>
              <w:bottom w:val="single" w:sz="4" w:space="0" w:color="auto"/>
            </w:tcBorders>
            <w:vAlign w:val="center"/>
          </w:tcPr>
          <w:p w:rsidR="00C61F61" w:rsidRPr="002F072C" w:rsidRDefault="00C61F61" w:rsidP="00C61F61">
            <w:pPr>
              <w:pStyle w:val="ListParagraph"/>
              <w:numPr>
                <w:ilvl w:val="0"/>
                <w:numId w:val="10"/>
              </w:numPr>
              <w:autoSpaceDE w:val="0"/>
              <w:autoSpaceDN w:val="0"/>
              <w:adjustRightInd w:val="0"/>
              <w:jc w:val="left"/>
              <w:rPr>
                <w:rFonts w:ascii="Arial" w:hAnsi="Arial" w:cs="Arial"/>
                <w:b w:val="0"/>
                <w:sz w:val="20"/>
                <w:lang w:eastAsia="ru-RU"/>
              </w:rPr>
            </w:pPr>
            <w:r w:rsidRPr="002F072C">
              <w:rPr>
                <w:rFonts w:ascii="Arial" w:hAnsi="Arial" w:cs="Arial"/>
                <w:b w:val="0"/>
                <w:sz w:val="20"/>
                <w:lang w:eastAsia="ru-RU"/>
              </w:rPr>
              <w:t>Weekly staff care sessions are completed and discussed in field report</w:t>
            </w:r>
          </w:p>
          <w:p w:rsidR="00C61F61" w:rsidRPr="002F072C" w:rsidRDefault="00C61F61" w:rsidP="00C61F61">
            <w:pPr>
              <w:pStyle w:val="ListParagraph"/>
              <w:autoSpaceDE w:val="0"/>
              <w:autoSpaceDN w:val="0"/>
              <w:adjustRightInd w:val="0"/>
              <w:ind w:left="720"/>
              <w:jc w:val="left"/>
              <w:rPr>
                <w:rFonts w:ascii="Arial" w:hAnsi="Arial" w:cs="Arial"/>
                <w:b w:val="0"/>
                <w:sz w:val="20"/>
                <w:lang w:eastAsia="ru-RU"/>
              </w:rPr>
            </w:pPr>
          </w:p>
        </w:tc>
        <w:tc>
          <w:tcPr>
            <w:tcW w:w="1710" w:type="dxa"/>
            <w:tcBorders>
              <w:bottom w:val="single" w:sz="4" w:space="0" w:color="auto"/>
            </w:tcBorders>
            <w:vAlign w:val="center"/>
          </w:tcPr>
          <w:p w:rsidR="00C61F61" w:rsidRPr="00094CA4" w:rsidRDefault="00C61F61" w:rsidP="00C61F61">
            <w:pPr>
              <w:pStyle w:val="ListParagraph"/>
              <w:autoSpaceDE w:val="0"/>
              <w:autoSpaceDN w:val="0"/>
              <w:adjustRightInd w:val="0"/>
              <w:jc w:val="left"/>
              <w:rPr>
                <w:rFonts w:ascii="Arial" w:hAnsi="Arial" w:cs="Arial"/>
                <w:b w:val="0"/>
                <w:sz w:val="20"/>
                <w:lang w:eastAsia="ru-RU"/>
              </w:rPr>
            </w:pPr>
            <w:r>
              <w:rPr>
                <w:rFonts w:ascii="Arial" w:hAnsi="Arial" w:cs="Arial"/>
                <w:b w:val="0"/>
                <w:sz w:val="20"/>
                <w:lang w:eastAsia="ru-RU"/>
              </w:rPr>
              <w:t>Weekly basis</w:t>
            </w:r>
          </w:p>
        </w:tc>
      </w:tr>
      <w:tr w:rsidR="00C61F61" w:rsidRPr="006E7AE5" w:rsidTr="00D7626A">
        <w:trPr>
          <w:trHeight w:val="512"/>
        </w:trPr>
        <w:tc>
          <w:tcPr>
            <w:tcW w:w="4230" w:type="dxa"/>
            <w:tcBorders>
              <w:bottom w:val="single" w:sz="4" w:space="0" w:color="auto"/>
            </w:tcBorders>
            <w:vAlign w:val="center"/>
          </w:tcPr>
          <w:p w:rsidR="00C61F61" w:rsidRPr="002F072C" w:rsidRDefault="00C61F61" w:rsidP="00C61F61">
            <w:pPr>
              <w:spacing w:after="200" w:line="276" w:lineRule="auto"/>
              <w:jc w:val="left"/>
              <w:rPr>
                <w:rFonts w:ascii="Arial" w:hAnsi="Arial" w:cs="Arial"/>
                <w:sz w:val="20"/>
              </w:rPr>
            </w:pPr>
            <w:r w:rsidRPr="002F072C">
              <w:rPr>
                <w:rFonts w:ascii="Arial" w:hAnsi="Arial" w:cs="Arial"/>
                <w:sz w:val="20"/>
              </w:rPr>
              <w:t>2c) Develop support materials for sustainability of staff self-care network</w:t>
            </w:r>
          </w:p>
          <w:p w:rsidR="00C61F61" w:rsidRPr="002F072C" w:rsidRDefault="00C61F61" w:rsidP="00C61F61">
            <w:pPr>
              <w:pStyle w:val="ListParagraph"/>
              <w:jc w:val="left"/>
              <w:rPr>
                <w:rFonts w:ascii="Arial" w:hAnsi="Arial" w:cs="Arial"/>
                <w:b w:val="0"/>
                <w:sz w:val="20"/>
              </w:rPr>
            </w:pPr>
          </w:p>
        </w:tc>
        <w:tc>
          <w:tcPr>
            <w:tcW w:w="4320" w:type="dxa"/>
            <w:tcBorders>
              <w:bottom w:val="single" w:sz="4" w:space="0" w:color="auto"/>
            </w:tcBorders>
            <w:vAlign w:val="center"/>
          </w:tcPr>
          <w:p w:rsidR="00C61F61" w:rsidRPr="002F072C" w:rsidRDefault="00C61F61" w:rsidP="00C61F61">
            <w:pPr>
              <w:pStyle w:val="ListParagraph"/>
              <w:numPr>
                <w:ilvl w:val="0"/>
                <w:numId w:val="10"/>
              </w:numPr>
              <w:autoSpaceDE w:val="0"/>
              <w:autoSpaceDN w:val="0"/>
              <w:adjustRightInd w:val="0"/>
              <w:jc w:val="left"/>
              <w:rPr>
                <w:rFonts w:ascii="Arial" w:hAnsi="Arial" w:cs="Arial"/>
                <w:b w:val="0"/>
                <w:sz w:val="20"/>
                <w:lang w:eastAsia="ru-RU"/>
              </w:rPr>
            </w:pPr>
            <w:r w:rsidRPr="002F072C">
              <w:rPr>
                <w:rFonts w:ascii="Arial" w:hAnsi="Arial" w:cs="Arial"/>
                <w:b w:val="0"/>
                <w:sz w:val="20"/>
                <w:lang w:eastAsia="ru-RU"/>
              </w:rPr>
              <w:t>Staff have a take-away to support continuation of self-care</w:t>
            </w:r>
          </w:p>
        </w:tc>
        <w:tc>
          <w:tcPr>
            <w:tcW w:w="1710" w:type="dxa"/>
            <w:tcBorders>
              <w:bottom w:val="single" w:sz="4" w:space="0" w:color="auto"/>
            </w:tcBorders>
            <w:vAlign w:val="center"/>
          </w:tcPr>
          <w:p w:rsidR="00C61F61" w:rsidRPr="00094CA4" w:rsidRDefault="00C61F61" w:rsidP="00C61F61">
            <w:pPr>
              <w:autoSpaceDE w:val="0"/>
              <w:autoSpaceDN w:val="0"/>
              <w:adjustRightInd w:val="0"/>
              <w:jc w:val="left"/>
              <w:rPr>
                <w:rFonts w:ascii="Arial" w:hAnsi="Arial" w:cs="Arial"/>
                <w:sz w:val="20"/>
                <w:lang w:eastAsia="ru-RU"/>
              </w:rPr>
            </w:pPr>
            <w:r>
              <w:rPr>
                <w:rFonts w:ascii="Arial" w:hAnsi="Arial" w:cs="Arial"/>
                <w:sz w:val="20"/>
                <w:lang w:eastAsia="ru-RU"/>
              </w:rPr>
              <w:t>By end of consultancy</w:t>
            </w:r>
          </w:p>
        </w:tc>
      </w:tr>
      <w:tr w:rsidR="00C61F61" w:rsidRPr="006E7AE5" w:rsidTr="00D7626A">
        <w:trPr>
          <w:trHeight w:val="512"/>
        </w:trPr>
        <w:tc>
          <w:tcPr>
            <w:tcW w:w="4230" w:type="dxa"/>
            <w:tcBorders>
              <w:bottom w:val="single" w:sz="4" w:space="0" w:color="auto"/>
            </w:tcBorders>
            <w:vAlign w:val="center"/>
          </w:tcPr>
          <w:p w:rsidR="00C61F61" w:rsidRPr="002F072C" w:rsidRDefault="00C61F61" w:rsidP="00C61F61">
            <w:pPr>
              <w:rPr>
                <w:rFonts w:ascii="Arial" w:hAnsi="Arial" w:cs="Arial"/>
              </w:rPr>
            </w:pPr>
            <w:r>
              <w:rPr>
                <w:rFonts w:ascii="Arial" w:hAnsi="Arial" w:cs="Arial"/>
              </w:rPr>
              <w:t xml:space="preserve">2d) Recommendations for external options of support for staff </w:t>
            </w:r>
          </w:p>
          <w:p w:rsidR="00C61F61" w:rsidRPr="002B552F" w:rsidRDefault="00C61F61" w:rsidP="00C61F61">
            <w:pPr>
              <w:jc w:val="left"/>
              <w:rPr>
                <w:rFonts w:ascii="Arial" w:hAnsi="Arial" w:cs="Arial"/>
                <w:sz w:val="20"/>
                <w:u w:val="single"/>
              </w:rPr>
            </w:pPr>
          </w:p>
        </w:tc>
        <w:tc>
          <w:tcPr>
            <w:tcW w:w="4320" w:type="dxa"/>
            <w:tcBorders>
              <w:bottom w:val="single" w:sz="4" w:space="0" w:color="auto"/>
            </w:tcBorders>
            <w:vAlign w:val="center"/>
          </w:tcPr>
          <w:p w:rsidR="00C61F61" w:rsidRPr="00096EA5" w:rsidRDefault="00C61F61" w:rsidP="00C61F61">
            <w:pPr>
              <w:pStyle w:val="ListParagraph"/>
              <w:numPr>
                <w:ilvl w:val="0"/>
                <w:numId w:val="10"/>
              </w:numPr>
              <w:jc w:val="left"/>
              <w:rPr>
                <w:rFonts w:ascii="Arial" w:hAnsi="Arial" w:cs="Arial"/>
                <w:b w:val="0"/>
                <w:sz w:val="20"/>
                <w:lang w:eastAsia="ru-RU"/>
              </w:rPr>
            </w:pPr>
            <w:r w:rsidRPr="00096EA5">
              <w:rPr>
                <w:rFonts w:ascii="Arial" w:hAnsi="Arial" w:cs="Arial"/>
                <w:b w:val="0"/>
                <w:sz w:val="20"/>
                <w:lang w:eastAsia="ru-RU"/>
              </w:rPr>
              <w:t>Field report</w:t>
            </w:r>
          </w:p>
        </w:tc>
        <w:tc>
          <w:tcPr>
            <w:tcW w:w="1710" w:type="dxa"/>
            <w:tcBorders>
              <w:bottom w:val="single" w:sz="4" w:space="0" w:color="auto"/>
            </w:tcBorders>
            <w:vAlign w:val="center"/>
          </w:tcPr>
          <w:p w:rsidR="00C61F61" w:rsidRDefault="00C61F61" w:rsidP="00C61F61">
            <w:pPr>
              <w:autoSpaceDE w:val="0"/>
              <w:autoSpaceDN w:val="0"/>
              <w:adjustRightInd w:val="0"/>
              <w:jc w:val="left"/>
              <w:rPr>
                <w:rFonts w:ascii="Arial" w:hAnsi="Arial" w:cs="Arial"/>
                <w:sz w:val="20"/>
                <w:lang w:eastAsia="ru-RU"/>
              </w:rPr>
            </w:pPr>
            <w:r>
              <w:rPr>
                <w:rFonts w:ascii="Arial" w:hAnsi="Arial" w:cs="Arial"/>
                <w:sz w:val="20"/>
                <w:lang w:eastAsia="ru-RU"/>
              </w:rPr>
              <w:t>By end of consultancy</w:t>
            </w:r>
          </w:p>
        </w:tc>
      </w:tr>
      <w:tr w:rsidR="00C61F61" w:rsidRPr="006E7AE5" w:rsidTr="00B81A5F">
        <w:trPr>
          <w:trHeight w:val="848"/>
        </w:trPr>
        <w:tc>
          <w:tcPr>
            <w:tcW w:w="10260" w:type="dxa"/>
            <w:gridSpan w:val="3"/>
          </w:tcPr>
          <w:p w:rsidR="00C61F61" w:rsidRDefault="00C61F61" w:rsidP="00C61F61">
            <w:pPr>
              <w:pStyle w:val="ListParagraph"/>
              <w:numPr>
                <w:ilvl w:val="0"/>
                <w:numId w:val="7"/>
              </w:numPr>
              <w:ind w:left="342" w:hanging="342"/>
              <w:rPr>
                <w:rFonts w:cs="Tahoma"/>
                <w:szCs w:val="22"/>
              </w:rPr>
            </w:pPr>
            <w:r>
              <w:rPr>
                <w:rFonts w:cs="Tahoma"/>
                <w:szCs w:val="22"/>
              </w:rPr>
              <w:t>Advertisement / Invitation / Request for Expression of Interest</w:t>
            </w:r>
          </w:p>
          <w:p w:rsidR="00C61F61" w:rsidRPr="00094CA4" w:rsidRDefault="00C61F61" w:rsidP="00C61F61">
            <w:pPr>
              <w:ind w:left="40"/>
              <w:jc w:val="left"/>
              <w:rPr>
                <w:rFonts w:ascii="Arial" w:hAnsi="Arial" w:cs="Arial"/>
                <w:sz w:val="20"/>
              </w:rPr>
            </w:pPr>
            <w:r w:rsidRPr="00094CA4">
              <w:rPr>
                <w:rFonts w:ascii="Arial" w:hAnsi="Arial" w:cs="Arial"/>
                <w:color w:val="000000" w:themeColor="text1"/>
                <w:sz w:val="20"/>
              </w:rPr>
              <w:t xml:space="preserve">This TOR will be advertised through the usual HR channels plus those identified by the </w:t>
            </w:r>
            <w:r>
              <w:rPr>
                <w:rFonts w:ascii="Arial" w:hAnsi="Arial" w:cs="Arial"/>
                <w:color w:val="000000" w:themeColor="text1"/>
                <w:sz w:val="20"/>
              </w:rPr>
              <w:t>CP</w:t>
            </w:r>
            <w:r w:rsidRPr="00094CA4">
              <w:rPr>
                <w:rFonts w:ascii="Arial" w:hAnsi="Arial" w:cs="Arial"/>
                <w:color w:val="000000" w:themeColor="text1"/>
                <w:sz w:val="20"/>
              </w:rPr>
              <w:t xml:space="preserve"> section namely </w:t>
            </w:r>
            <w:r>
              <w:rPr>
                <w:rFonts w:ascii="Arial" w:hAnsi="Arial" w:cs="Arial"/>
                <w:color w:val="000000" w:themeColor="text1"/>
                <w:sz w:val="20"/>
              </w:rPr>
              <w:t>CP networks and</w:t>
            </w:r>
            <w:r w:rsidRPr="00094CA4">
              <w:rPr>
                <w:rFonts w:ascii="Arial" w:hAnsi="Arial" w:cs="Arial"/>
                <w:color w:val="000000" w:themeColor="text1"/>
                <w:sz w:val="20"/>
              </w:rPr>
              <w:t xml:space="preserve"> mailing list, </w:t>
            </w:r>
            <w:r w:rsidRPr="00094CA4">
              <w:rPr>
                <w:rFonts w:ascii="Arial" w:hAnsi="Arial" w:cs="Arial"/>
                <w:sz w:val="20"/>
              </w:rPr>
              <w:t>MIMU,</w:t>
            </w:r>
            <w:r>
              <w:rPr>
                <w:rFonts w:ascii="Arial" w:hAnsi="Arial" w:cs="Arial"/>
                <w:sz w:val="20"/>
              </w:rPr>
              <w:t xml:space="preserve"> CPWG</w:t>
            </w:r>
            <w:r w:rsidRPr="00094CA4">
              <w:rPr>
                <w:rFonts w:ascii="Arial" w:hAnsi="Arial" w:cs="Arial"/>
                <w:sz w:val="20"/>
              </w:rPr>
              <w:t xml:space="preserve"> and any other relevant groups in country to prioritise a locally recruited candidate to avoid long delays in visa processing.</w:t>
            </w:r>
          </w:p>
          <w:p w:rsidR="00C61F61" w:rsidRPr="00AC1BA0" w:rsidRDefault="00C61F61" w:rsidP="00C61F61">
            <w:pPr>
              <w:rPr>
                <w:rFonts w:cs="Tahoma"/>
                <w:szCs w:val="22"/>
              </w:rPr>
            </w:pPr>
          </w:p>
        </w:tc>
      </w:tr>
      <w:tr w:rsidR="00C61F61" w:rsidRPr="006E7AE5" w:rsidTr="00B81A5F">
        <w:trPr>
          <w:trHeight w:val="848"/>
        </w:trPr>
        <w:tc>
          <w:tcPr>
            <w:tcW w:w="10260" w:type="dxa"/>
            <w:gridSpan w:val="3"/>
          </w:tcPr>
          <w:p w:rsidR="00C61F61" w:rsidRPr="00FA3389" w:rsidRDefault="00C61F61" w:rsidP="00C61F61">
            <w:pPr>
              <w:pStyle w:val="ListParagraph"/>
              <w:numPr>
                <w:ilvl w:val="0"/>
                <w:numId w:val="7"/>
              </w:numPr>
              <w:ind w:left="342" w:hanging="342"/>
              <w:rPr>
                <w:rFonts w:cs="Tahoma"/>
                <w:szCs w:val="22"/>
              </w:rPr>
            </w:pPr>
            <w:r w:rsidRPr="00FA3389">
              <w:rPr>
                <w:rFonts w:cs="Tahoma"/>
                <w:szCs w:val="22"/>
              </w:rPr>
              <w:lastRenderedPageBreak/>
              <w:t>Selection process</w:t>
            </w:r>
            <w:r>
              <w:rPr>
                <w:rFonts w:cs="Tahoma"/>
                <w:szCs w:val="22"/>
              </w:rPr>
              <w:t xml:space="preserve"> (EOI to be attached to TOR)</w:t>
            </w:r>
          </w:p>
          <w:p w:rsidR="00C61F61" w:rsidRPr="00094CA4" w:rsidRDefault="00C61F61" w:rsidP="00C61F61">
            <w:pPr>
              <w:spacing w:before="120" w:after="120"/>
              <w:jc w:val="left"/>
              <w:rPr>
                <w:rFonts w:ascii="Arial" w:hAnsi="Arial" w:cs="Arial"/>
                <w:color w:val="000000" w:themeColor="text1"/>
                <w:sz w:val="20"/>
              </w:rPr>
            </w:pPr>
            <w:r w:rsidRPr="00094CA4">
              <w:rPr>
                <w:rFonts w:ascii="Arial" w:hAnsi="Arial" w:cs="Arial"/>
                <w:color w:val="000000" w:themeColor="text1"/>
                <w:sz w:val="20"/>
              </w:rPr>
              <w:t xml:space="preserve">Interested candidates are required to </w:t>
            </w:r>
            <w:r w:rsidRPr="00094CA4">
              <w:rPr>
                <w:rFonts w:ascii="Arial" w:hAnsi="Arial" w:cs="Arial"/>
                <w:b/>
                <w:color w:val="FF0000"/>
                <w:sz w:val="20"/>
              </w:rPr>
              <w:t>complete the Expression of Interest Form</w:t>
            </w:r>
            <w:r w:rsidRPr="00094CA4">
              <w:rPr>
                <w:rFonts w:ascii="Arial" w:hAnsi="Arial" w:cs="Arial"/>
                <w:color w:val="FF0000"/>
                <w:sz w:val="20"/>
              </w:rPr>
              <w:t xml:space="preserve"> </w:t>
            </w:r>
            <w:r w:rsidRPr="00094CA4">
              <w:rPr>
                <w:rFonts w:ascii="Arial" w:hAnsi="Arial" w:cs="Arial"/>
                <w:color w:val="000000" w:themeColor="text1"/>
                <w:sz w:val="20"/>
              </w:rPr>
              <w:t xml:space="preserve">circulated with the call for proposals, answering the technical questions included. </w:t>
            </w:r>
          </w:p>
          <w:p w:rsidR="00C61F61" w:rsidRDefault="00C61F61" w:rsidP="00C61F61">
            <w:pPr>
              <w:spacing w:before="120" w:after="120"/>
              <w:jc w:val="left"/>
              <w:rPr>
                <w:rFonts w:ascii="Arial" w:hAnsi="Arial" w:cs="Arial"/>
                <w:color w:val="000000" w:themeColor="text1"/>
                <w:sz w:val="20"/>
              </w:rPr>
            </w:pPr>
            <w:r w:rsidRPr="00094CA4">
              <w:rPr>
                <w:rFonts w:ascii="Arial" w:hAnsi="Arial" w:cs="Arial"/>
                <w:color w:val="000000" w:themeColor="text1"/>
                <w:sz w:val="20"/>
              </w:rPr>
              <w:t>The consultant will be identified by UNICEF based on a competitive selection process, taking into account the candidate’s experience, the quality of the answers produced, and of the lump-sum requested.</w:t>
            </w:r>
          </w:p>
          <w:p w:rsidR="00C61F61" w:rsidRPr="00094CA4" w:rsidRDefault="00C61F61" w:rsidP="00C61F61">
            <w:pPr>
              <w:spacing w:before="120" w:after="120"/>
              <w:jc w:val="left"/>
              <w:rPr>
                <w:rFonts w:ascii="Arial" w:hAnsi="Arial" w:cs="Arial"/>
                <w:color w:val="000000" w:themeColor="text1"/>
                <w:sz w:val="20"/>
              </w:rPr>
            </w:pPr>
            <w:r w:rsidRPr="00094CA4">
              <w:rPr>
                <w:rFonts w:ascii="Arial" w:hAnsi="Arial" w:cs="Arial"/>
                <w:color w:val="000000" w:themeColor="text1"/>
                <w:sz w:val="20"/>
              </w:rPr>
              <w:t>If deemed opportune, UNICEF will require a telephone interview with shortlisted candidates.</w:t>
            </w:r>
          </w:p>
          <w:p w:rsidR="00C61F61" w:rsidRPr="006E7AE5" w:rsidRDefault="00C61F61" w:rsidP="00C61F61">
            <w:pPr>
              <w:rPr>
                <w:rFonts w:cs="Tahoma"/>
                <w:szCs w:val="22"/>
              </w:rPr>
            </w:pPr>
            <w:r w:rsidRPr="000C55E9">
              <w:rPr>
                <w:rFonts w:cs="Tahoma"/>
                <w:i/>
                <w:color w:val="00B0F0"/>
                <w:szCs w:val="22"/>
              </w:rPr>
              <w:t>.</w:t>
            </w:r>
            <w:r w:rsidRPr="000C55E9">
              <w:rPr>
                <w:rFonts w:cs="Tahoma"/>
                <w:color w:val="00B0F0"/>
                <w:szCs w:val="22"/>
              </w:rPr>
              <w:t xml:space="preserve"> </w:t>
            </w:r>
          </w:p>
        </w:tc>
      </w:tr>
      <w:tr w:rsidR="00C61F61" w:rsidRPr="006E7AE5" w:rsidTr="00B81A5F">
        <w:trPr>
          <w:trHeight w:val="848"/>
        </w:trPr>
        <w:tc>
          <w:tcPr>
            <w:tcW w:w="10260" w:type="dxa"/>
            <w:gridSpan w:val="3"/>
          </w:tcPr>
          <w:p w:rsidR="00C61F61" w:rsidRDefault="00C61F61" w:rsidP="00C61F61">
            <w:pPr>
              <w:pStyle w:val="ListParagraph"/>
              <w:numPr>
                <w:ilvl w:val="0"/>
                <w:numId w:val="7"/>
              </w:numPr>
              <w:ind w:left="342" w:hanging="342"/>
              <w:rPr>
                <w:rFonts w:cs="Tahoma"/>
                <w:szCs w:val="22"/>
              </w:rPr>
            </w:pPr>
            <w:r w:rsidRPr="00FA3389">
              <w:rPr>
                <w:rFonts w:cs="Tahoma"/>
                <w:szCs w:val="22"/>
              </w:rPr>
              <w:t>Qualification and specialized knowledge/experience required for the assignment:</w:t>
            </w:r>
          </w:p>
          <w:p w:rsidR="00C61F61" w:rsidRDefault="00C61F61" w:rsidP="00C61F61">
            <w:pPr>
              <w:spacing w:before="120"/>
              <w:ind w:right="-360"/>
              <w:jc w:val="left"/>
              <w:rPr>
                <w:rFonts w:ascii="Arial" w:hAnsi="Arial" w:cs="Arial"/>
                <w:sz w:val="20"/>
              </w:rPr>
            </w:pPr>
            <w:r w:rsidRPr="00BC11D3">
              <w:rPr>
                <w:rFonts w:ascii="Arial" w:hAnsi="Arial" w:cs="Arial"/>
                <w:sz w:val="20"/>
              </w:rPr>
              <w:t xml:space="preserve">Education </w:t>
            </w:r>
          </w:p>
          <w:p w:rsidR="00C61F61" w:rsidRDefault="00C61F61" w:rsidP="00C61F61">
            <w:pPr>
              <w:numPr>
                <w:ilvl w:val="0"/>
                <w:numId w:val="14"/>
              </w:numPr>
              <w:spacing w:before="120"/>
              <w:ind w:right="-360"/>
              <w:jc w:val="left"/>
              <w:rPr>
                <w:rFonts w:ascii="Arial" w:hAnsi="Arial" w:cs="Arial"/>
                <w:sz w:val="20"/>
              </w:rPr>
            </w:pPr>
            <w:r w:rsidRPr="00247430">
              <w:rPr>
                <w:rFonts w:ascii="Arial" w:hAnsi="Arial" w:cs="Arial"/>
                <w:sz w:val="20"/>
              </w:rPr>
              <w:t>Qualification in Clinical Psychology</w:t>
            </w:r>
            <w:r>
              <w:rPr>
                <w:rFonts w:ascii="Arial" w:hAnsi="Arial" w:cs="Arial"/>
                <w:sz w:val="20"/>
              </w:rPr>
              <w:t xml:space="preserve"> and/or child development</w:t>
            </w:r>
          </w:p>
          <w:p w:rsidR="00C61F61" w:rsidRPr="00BC11D3" w:rsidRDefault="00C61F61" w:rsidP="00C61F61">
            <w:pPr>
              <w:spacing w:before="120"/>
              <w:ind w:right="-360"/>
              <w:jc w:val="left"/>
              <w:rPr>
                <w:rFonts w:ascii="Arial" w:hAnsi="Arial" w:cs="Arial"/>
                <w:sz w:val="20"/>
              </w:rPr>
            </w:pPr>
          </w:p>
          <w:p w:rsidR="00C61F61" w:rsidRPr="00BC11D3" w:rsidRDefault="00C61F61" w:rsidP="00C61F61">
            <w:pPr>
              <w:tabs>
                <w:tab w:val="left" w:pos="342"/>
              </w:tabs>
              <w:jc w:val="left"/>
              <w:rPr>
                <w:rFonts w:ascii="Arial" w:hAnsi="Arial" w:cs="Arial"/>
                <w:sz w:val="20"/>
              </w:rPr>
            </w:pPr>
            <w:r w:rsidRPr="00BC11D3">
              <w:rPr>
                <w:rFonts w:ascii="Arial" w:hAnsi="Arial" w:cs="Arial"/>
                <w:sz w:val="20"/>
              </w:rPr>
              <w:t>Work Experience</w:t>
            </w:r>
          </w:p>
          <w:p w:rsidR="00C61F61" w:rsidRPr="00247430" w:rsidRDefault="00C61F61" w:rsidP="00C61F61">
            <w:pPr>
              <w:pStyle w:val="ListParagraph"/>
              <w:numPr>
                <w:ilvl w:val="0"/>
                <w:numId w:val="13"/>
              </w:numPr>
              <w:ind w:right="-360"/>
              <w:jc w:val="left"/>
              <w:rPr>
                <w:rFonts w:ascii="Arial" w:hAnsi="Arial" w:cs="Arial"/>
                <w:b w:val="0"/>
                <w:sz w:val="20"/>
              </w:rPr>
            </w:pPr>
            <w:r w:rsidRPr="00247430">
              <w:rPr>
                <w:rFonts w:ascii="Arial" w:hAnsi="Arial" w:cs="Arial"/>
                <w:b w:val="0"/>
                <w:sz w:val="20"/>
              </w:rPr>
              <w:t xml:space="preserve">Experience of psychosocial assessment tools and analysis for children and families.  Familiarity with working in low resource settings with limited access to health facilities and trained mental health professionals. </w:t>
            </w:r>
          </w:p>
          <w:p w:rsidR="00C61F61" w:rsidRPr="00247430" w:rsidRDefault="00C61F61" w:rsidP="00C61F61">
            <w:pPr>
              <w:pStyle w:val="ListParagraph"/>
              <w:numPr>
                <w:ilvl w:val="0"/>
                <w:numId w:val="13"/>
              </w:numPr>
              <w:ind w:right="-360"/>
              <w:jc w:val="left"/>
              <w:rPr>
                <w:rFonts w:ascii="Arial" w:hAnsi="Arial" w:cs="Arial"/>
                <w:b w:val="0"/>
                <w:sz w:val="20"/>
              </w:rPr>
            </w:pPr>
            <w:r w:rsidRPr="00247430">
              <w:rPr>
                <w:rFonts w:ascii="Arial" w:hAnsi="Arial" w:cs="Arial"/>
                <w:b w:val="0"/>
                <w:sz w:val="20"/>
              </w:rPr>
              <w:t xml:space="preserve">Has a toolkit or resources that can be tailored to the context in northern Rakhine </w:t>
            </w:r>
            <w:r>
              <w:rPr>
                <w:rFonts w:ascii="Arial" w:hAnsi="Arial" w:cs="Arial"/>
                <w:b w:val="0"/>
                <w:sz w:val="20"/>
              </w:rPr>
              <w:t xml:space="preserve">in MHPSS programming and </w:t>
            </w:r>
            <w:proofErr w:type="spellStart"/>
            <w:r>
              <w:rPr>
                <w:rFonts w:ascii="Arial" w:hAnsi="Arial" w:cs="Arial"/>
                <w:b w:val="0"/>
                <w:sz w:val="20"/>
              </w:rPr>
              <w:t>self care</w:t>
            </w:r>
            <w:proofErr w:type="spellEnd"/>
          </w:p>
          <w:p w:rsidR="00C61F61" w:rsidRPr="00BC11D3" w:rsidRDefault="00C61F61" w:rsidP="00C61F61">
            <w:pPr>
              <w:pStyle w:val="ListParagraph"/>
              <w:numPr>
                <w:ilvl w:val="0"/>
                <w:numId w:val="13"/>
              </w:numPr>
              <w:ind w:right="-360"/>
              <w:jc w:val="left"/>
              <w:rPr>
                <w:rFonts w:ascii="Arial" w:hAnsi="Arial" w:cs="Arial"/>
                <w:b w:val="0"/>
                <w:sz w:val="20"/>
              </w:rPr>
            </w:pPr>
            <w:r w:rsidRPr="00BC11D3">
              <w:rPr>
                <w:rFonts w:ascii="Arial" w:hAnsi="Arial" w:cs="Arial"/>
                <w:b w:val="0"/>
                <w:sz w:val="20"/>
              </w:rPr>
              <w:t>Proven ability to understand the situation quickly, identify potential problems and recommend appropriate solutions manner</w:t>
            </w:r>
          </w:p>
          <w:p w:rsidR="00C61F61" w:rsidRPr="00BC11D3" w:rsidRDefault="00C61F61" w:rsidP="00C61F61">
            <w:pPr>
              <w:pStyle w:val="ListParagraph"/>
              <w:numPr>
                <w:ilvl w:val="0"/>
                <w:numId w:val="13"/>
              </w:numPr>
              <w:ind w:right="-360"/>
              <w:jc w:val="left"/>
              <w:rPr>
                <w:rFonts w:ascii="Arial" w:hAnsi="Arial" w:cs="Arial"/>
                <w:b w:val="0"/>
                <w:sz w:val="20"/>
              </w:rPr>
            </w:pPr>
            <w:r w:rsidRPr="00BC11D3">
              <w:rPr>
                <w:rFonts w:ascii="Arial" w:hAnsi="Arial" w:cs="Arial"/>
                <w:b w:val="0"/>
                <w:sz w:val="20"/>
              </w:rPr>
              <w:t>Ability to work productively in a multi-cultural environment</w:t>
            </w:r>
          </w:p>
          <w:p w:rsidR="00C61F61" w:rsidRPr="00BC11D3" w:rsidRDefault="00C61F61" w:rsidP="00C61F61">
            <w:pPr>
              <w:pStyle w:val="ListParagraph"/>
              <w:numPr>
                <w:ilvl w:val="0"/>
                <w:numId w:val="13"/>
              </w:numPr>
              <w:rPr>
                <w:rFonts w:ascii="Arial" w:hAnsi="Arial" w:cs="Arial"/>
                <w:b w:val="0"/>
                <w:sz w:val="20"/>
              </w:rPr>
            </w:pPr>
            <w:r w:rsidRPr="00BC11D3">
              <w:rPr>
                <w:rFonts w:ascii="Arial" w:hAnsi="Arial" w:cs="Arial"/>
                <w:b w:val="0"/>
                <w:sz w:val="20"/>
              </w:rPr>
              <w:t>Good health and willingness to travel.</w:t>
            </w:r>
          </w:p>
          <w:p w:rsidR="00C61F61" w:rsidRDefault="00C61F61" w:rsidP="00C61F61">
            <w:pPr>
              <w:ind w:right="-360"/>
              <w:jc w:val="left"/>
              <w:rPr>
                <w:rFonts w:ascii="Arial" w:hAnsi="Arial" w:cs="Arial"/>
                <w:sz w:val="20"/>
              </w:rPr>
            </w:pPr>
            <w:r w:rsidRPr="00BC11D3">
              <w:rPr>
                <w:rFonts w:ascii="Arial" w:hAnsi="Arial" w:cs="Arial"/>
                <w:sz w:val="20"/>
              </w:rPr>
              <w:t>Language Proficiency</w:t>
            </w:r>
          </w:p>
          <w:p w:rsidR="00C61F61" w:rsidRPr="00BC11D3" w:rsidRDefault="00C61F61" w:rsidP="00C61F61">
            <w:pPr>
              <w:ind w:right="-360"/>
              <w:jc w:val="left"/>
              <w:rPr>
                <w:rFonts w:ascii="Arial" w:hAnsi="Arial" w:cs="Arial"/>
                <w:sz w:val="20"/>
              </w:rPr>
            </w:pPr>
          </w:p>
          <w:p w:rsidR="00C61F61" w:rsidRPr="00BC11D3" w:rsidRDefault="00C61F61" w:rsidP="00C61F61">
            <w:pPr>
              <w:jc w:val="left"/>
              <w:rPr>
                <w:rFonts w:ascii="Arial" w:hAnsi="Arial" w:cs="Arial"/>
                <w:b/>
                <w:sz w:val="20"/>
              </w:rPr>
            </w:pPr>
            <w:r w:rsidRPr="00BC11D3">
              <w:rPr>
                <w:rFonts w:ascii="Arial" w:hAnsi="Arial" w:cs="Arial"/>
                <w:sz w:val="20"/>
              </w:rPr>
              <w:t>Fluency in English is required (oral and written)</w:t>
            </w:r>
          </w:p>
          <w:p w:rsidR="00C61F61" w:rsidRPr="00C61F61" w:rsidRDefault="00C61F61" w:rsidP="00C61F61"/>
          <w:p w:rsidR="00C61F61" w:rsidRPr="006E7AE5" w:rsidRDefault="00C61F61" w:rsidP="00C61F61">
            <w:pPr>
              <w:rPr>
                <w:rFonts w:cs="Tahoma"/>
                <w:szCs w:val="22"/>
              </w:rPr>
            </w:pPr>
            <w:r>
              <w:rPr>
                <w:rFonts w:cs="Tahoma"/>
                <w:szCs w:val="22"/>
              </w:rPr>
              <w:t xml:space="preserve">   </w:t>
            </w:r>
          </w:p>
        </w:tc>
      </w:tr>
      <w:tr w:rsidR="00C61F61" w:rsidRPr="006E7AE5" w:rsidTr="00B81A5F">
        <w:tc>
          <w:tcPr>
            <w:tcW w:w="10260" w:type="dxa"/>
            <w:gridSpan w:val="3"/>
          </w:tcPr>
          <w:p w:rsidR="00C61F61" w:rsidRPr="006E7AE5" w:rsidRDefault="00C61F61" w:rsidP="00C61F61">
            <w:pPr>
              <w:pStyle w:val="ListParagraph"/>
              <w:numPr>
                <w:ilvl w:val="0"/>
                <w:numId w:val="7"/>
              </w:numPr>
              <w:ind w:left="342" w:hanging="342"/>
            </w:pPr>
            <w:r w:rsidRPr="006E7AE5">
              <w:t xml:space="preserve">Other conditions: </w:t>
            </w:r>
          </w:p>
          <w:p w:rsidR="00C61F61" w:rsidRPr="00094CA4" w:rsidRDefault="00C61F61" w:rsidP="00C61F61">
            <w:pPr>
              <w:jc w:val="left"/>
              <w:rPr>
                <w:rFonts w:ascii="Arial" w:hAnsi="Arial" w:cs="Arial"/>
                <w:sz w:val="20"/>
              </w:rPr>
            </w:pPr>
            <w:r w:rsidRPr="00094CA4">
              <w:rPr>
                <w:rFonts w:ascii="Arial" w:hAnsi="Arial" w:cs="Arial"/>
                <w:sz w:val="20"/>
              </w:rPr>
              <w:t xml:space="preserve">Travel is expected and DSA will be included as a flat amount in the contract. Local travel and other travel costs will be paid on actual basis. </w:t>
            </w:r>
            <w:r>
              <w:rPr>
                <w:rFonts w:ascii="Arial" w:hAnsi="Arial" w:cs="Arial"/>
                <w:sz w:val="20"/>
              </w:rPr>
              <w:t>Consultant will be expected to use own laptop.</w:t>
            </w:r>
          </w:p>
          <w:p w:rsidR="00C61F61" w:rsidRPr="00C61F61" w:rsidRDefault="00C61F61" w:rsidP="00C61F61">
            <w:pPr>
              <w:rPr>
                <w:rFonts w:cs="Tahoma"/>
                <w:szCs w:val="22"/>
              </w:rPr>
            </w:pPr>
          </w:p>
          <w:p w:rsidR="00C61F61" w:rsidRPr="00C73548" w:rsidRDefault="00C61F61" w:rsidP="00C61F61">
            <w:pPr>
              <w:rPr>
                <w:b/>
              </w:rPr>
            </w:pPr>
            <w:r w:rsidRPr="00C73548">
              <w:rPr>
                <w:b/>
              </w:rPr>
              <w:t xml:space="preserve">Life and health insurance </w:t>
            </w:r>
          </w:p>
          <w:p w:rsidR="00C61F61" w:rsidRPr="00C73548" w:rsidRDefault="00C61F61" w:rsidP="00C61F61">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rsidR="00C61F61" w:rsidRPr="00C73548" w:rsidRDefault="00C61F61" w:rsidP="00C61F61">
            <w:pPr>
              <w:rPr>
                <w:b/>
              </w:rPr>
            </w:pPr>
            <w:r w:rsidRPr="00C73548">
              <w:rPr>
                <w:b/>
              </w:rPr>
              <w:t>Insurance for service-incurred death, injury or illness</w:t>
            </w:r>
          </w:p>
          <w:p w:rsidR="00C61F61" w:rsidRDefault="00C61F61" w:rsidP="00C61F61">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rsidR="00C61F61" w:rsidRDefault="00C61F61" w:rsidP="00C61F61">
            <w:pPr>
              <w:rPr>
                <w:rFonts w:cs="Tahoma"/>
                <w:b/>
                <w:szCs w:val="22"/>
                <w:lang w:val="en-AU"/>
              </w:rPr>
            </w:pPr>
            <w:r>
              <w:rPr>
                <w:rFonts w:cs="Tahoma"/>
                <w:b/>
                <w:szCs w:val="22"/>
                <w:lang w:val="en-AU"/>
              </w:rPr>
              <w:t>Payment</w:t>
            </w:r>
          </w:p>
          <w:p w:rsidR="00C61F61" w:rsidRPr="00094CA4" w:rsidRDefault="00C61F61" w:rsidP="00C61F61">
            <w:pPr>
              <w:rPr>
                <w:rFonts w:ascii="Arial" w:hAnsi="Arial" w:cs="Arial"/>
                <w:sz w:val="20"/>
              </w:rPr>
            </w:pPr>
            <w:r w:rsidRPr="00094CA4">
              <w:rPr>
                <w:rFonts w:ascii="Arial" w:hAnsi="Arial" w:cs="Arial"/>
                <w:sz w:val="20"/>
              </w:rPr>
              <w:t>The payment will be made</w:t>
            </w:r>
            <w:r>
              <w:rPr>
                <w:rFonts w:ascii="Arial" w:hAnsi="Arial" w:cs="Arial"/>
                <w:sz w:val="20"/>
              </w:rPr>
              <w:t xml:space="preserve"> in two instalments upon receipt of the following deliverables</w:t>
            </w:r>
            <w:r w:rsidRPr="00094CA4">
              <w:rPr>
                <w:rFonts w:ascii="Arial" w:hAnsi="Arial" w:cs="Arial"/>
                <w:sz w:val="20"/>
              </w:rPr>
              <w:t xml:space="preserve">. </w:t>
            </w:r>
          </w:p>
          <w:p w:rsidR="00C61F61" w:rsidRPr="00094CA4" w:rsidRDefault="00C61F61" w:rsidP="00C61F61">
            <w:pPr>
              <w:rPr>
                <w:rFonts w:ascii="Arial" w:hAnsi="Arial" w:cs="Arial"/>
                <w:sz w:val="20"/>
              </w:rPr>
            </w:pPr>
          </w:p>
          <w:tbl>
            <w:tblPr>
              <w:tblStyle w:val="TableGrid"/>
              <w:tblW w:w="9265" w:type="dxa"/>
              <w:tblLayout w:type="fixed"/>
              <w:tblLook w:val="04A0" w:firstRow="1" w:lastRow="0" w:firstColumn="1" w:lastColumn="0" w:noHBand="0" w:noVBand="1"/>
            </w:tblPr>
            <w:tblGrid>
              <w:gridCol w:w="1255"/>
              <w:gridCol w:w="6570"/>
              <w:gridCol w:w="1440"/>
            </w:tblGrid>
            <w:tr w:rsidR="00C61F61" w:rsidRPr="00094CA4" w:rsidTr="008773E8">
              <w:tc>
                <w:tcPr>
                  <w:tcW w:w="1255" w:type="dxa"/>
                </w:tcPr>
                <w:p w:rsidR="00C61F61" w:rsidRPr="00094CA4" w:rsidRDefault="00C61F61" w:rsidP="00C61F61">
                  <w:pPr>
                    <w:autoSpaceDE w:val="0"/>
                    <w:autoSpaceDN w:val="0"/>
                    <w:adjustRightInd w:val="0"/>
                    <w:jc w:val="left"/>
                    <w:rPr>
                      <w:rFonts w:ascii="Arial" w:hAnsi="Arial" w:cs="Arial"/>
                      <w:sz w:val="20"/>
                      <w:szCs w:val="20"/>
                      <w:lang w:eastAsia="ru-RU"/>
                    </w:rPr>
                  </w:pPr>
                </w:p>
              </w:tc>
              <w:tc>
                <w:tcPr>
                  <w:tcW w:w="6570" w:type="dxa"/>
                </w:tcPr>
                <w:p w:rsidR="00C61F61" w:rsidRPr="00094CA4" w:rsidRDefault="00C61F61" w:rsidP="00C61F61">
                  <w:pPr>
                    <w:autoSpaceDE w:val="0"/>
                    <w:autoSpaceDN w:val="0"/>
                    <w:adjustRightInd w:val="0"/>
                    <w:jc w:val="left"/>
                    <w:rPr>
                      <w:rFonts w:ascii="Arial" w:hAnsi="Arial" w:cs="Arial"/>
                      <w:sz w:val="20"/>
                      <w:szCs w:val="20"/>
                      <w:lang w:eastAsia="ru-RU"/>
                    </w:rPr>
                  </w:pPr>
                  <w:r w:rsidRPr="00094CA4">
                    <w:rPr>
                      <w:rFonts w:ascii="Arial" w:hAnsi="Arial" w:cs="Arial"/>
                      <w:sz w:val="20"/>
                      <w:szCs w:val="20"/>
                      <w:lang w:eastAsia="ru-RU"/>
                    </w:rPr>
                    <w:t>Deliverables</w:t>
                  </w:r>
                </w:p>
              </w:tc>
              <w:tc>
                <w:tcPr>
                  <w:tcW w:w="1440" w:type="dxa"/>
                </w:tcPr>
                <w:p w:rsidR="00C61F61" w:rsidRPr="00094CA4" w:rsidRDefault="00C61F61" w:rsidP="00C61F61">
                  <w:pPr>
                    <w:autoSpaceDE w:val="0"/>
                    <w:autoSpaceDN w:val="0"/>
                    <w:adjustRightInd w:val="0"/>
                    <w:jc w:val="left"/>
                    <w:rPr>
                      <w:rFonts w:ascii="Arial" w:hAnsi="Arial" w:cs="Arial"/>
                      <w:sz w:val="20"/>
                      <w:szCs w:val="20"/>
                      <w:lang w:eastAsia="ru-RU"/>
                    </w:rPr>
                  </w:pPr>
                </w:p>
              </w:tc>
            </w:tr>
            <w:tr w:rsidR="00C61F61" w:rsidRPr="00094CA4" w:rsidTr="008773E8">
              <w:tc>
                <w:tcPr>
                  <w:tcW w:w="1255" w:type="dxa"/>
                </w:tcPr>
                <w:p w:rsidR="00C61F61" w:rsidRPr="00094CA4" w:rsidRDefault="00C61F61" w:rsidP="00C61F61">
                  <w:pPr>
                    <w:autoSpaceDE w:val="0"/>
                    <w:autoSpaceDN w:val="0"/>
                    <w:adjustRightInd w:val="0"/>
                    <w:jc w:val="left"/>
                    <w:rPr>
                      <w:rFonts w:ascii="Arial" w:hAnsi="Arial" w:cs="Arial"/>
                      <w:sz w:val="20"/>
                      <w:szCs w:val="20"/>
                      <w:lang w:eastAsia="ru-RU"/>
                    </w:rPr>
                  </w:pPr>
                  <w:r w:rsidRPr="00094CA4">
                    <w:rPr>
                      <w:rFonts w:ascii="Arial" w:hAnsi="Arial" w:cs="Arial"/>
                      <w:sz w:val="20"/>
                      <w:szCs w:val="20"/>
                      <w:lang w:eastAsia="ru-RU"/>
                    </w:rPr>
                    <w:t>1</w:t>
                  </w:r>
                  <w:r w:rsidRPr="00094CA4">
                    <w:rPr>
                      <w:rFonts w:ascii="Arial" w:hAnsi="Arial" w:cs="Arial"/>
                      <w:sz w:val="20"/>
                      <w:szCs w:val="20"/>
                      <w:vertAlign w:val="superscript"/>
                      <w:lang w:eastAsia="ru-RU"/>
                    </w:rPr>
                    <w:t>st</w:t>
                  </w:r>
                  <w:r w:rsidRPr="00094CA4">
                    <w:rPr>
                      <w:rFonts w:ascii="Arial" w:hAnsi="Arial" w:cs="Arial"/>
                      <w:sz w:val="20"/>
                      <w:szCs w:val="20"/>
                      <w:lang w:eastAsia="ru-RU"/>
                    </w:rPr>
                    <w:t xml:space="preserve"> </w:t>
                  </w:r>
                  <w:r>
                    <w:rPr>
                      <w:rFonts w:ascii="Arial" w:hAnsi="Arial" w:cs="Arial"/>
                      <w:sz w:val="20"/>
                      <w:szCs w:val="20"/>
                      <w:lang w:eastAsia="ru-RU"/>
                    </w:rPr>
                    <w:t>payment</w:t>
                  </w:r>
                </w:p>
              </w:tc>
              <w:tc>
                <w:tcPr>
                  <w:tcW w:w="6570" w:type="dxa"/>
                </w:tcPr>
                <w:p w:rsidR="00C61F61" w:rsidRPr="00094CA4" w:rsidRDefault="00C61F61" w:rsidP="00C61F61">
                  <w:pPr>
                    <w:autoSpaceDE w:val="0"/>
                    <w:autoSpaceDN w:val="0"/>
                    <w:adjustRightInd w:val="0"/>
                    <w:jc w:val="left"/>
                    <w:rPr>
                      <w:rFonts w:ascii="Arial" w:hAnsi="Arial" w:cs="Arial"/>
                      <w:sz w:val="20"/>
                      <w:szCs w:val="20"/>
                      <w:lang w:eastAsia="ru-RU"/>
                    </w:rPr>
                  </w:pPr>
                  <w:r>
                    <w:rPr>
                      <w:rFonts w:ascii="Arial" w:hAnsi="Arial" w:cs="Arial"/>
                      <w:sz w:val="20"/>
                      <w:szCs w:val="20"/>
                      <w:lang w:eastAsia="ru-RU"/>
                    </w:rPr>
                    <w:t>Reimbursement for airfare (if necessary) and payment of DSA</w:t>
                  </w:r>
                </w:p>
              </w:tc>
              <w:tc>
                <w:tcPr>
                  <w:tcW w:w="1440" w:type="dxa"/>
                </w:tcPr>
                <w:p w:rsidR="00C61F61" w:rsidRPr="00094CA4" w:rsidRDefault="00C61F61" w:rsidP="00C61F61">
                  <w:pPr>
                    <w:autoSpaceDE w:val="0"/>
                    <w:autoSpaceDN w:val="0"/>
                    <w:adjustRightInd w:val="0"/>
                    <w:jc w:val="left"/>
                    <w:rPr>
                      <w:rFonts w:ascii="Arial" w:hAnsi="Arial" w:cs="Arial"/>
                      <w:sz w:val="20"/>
                      <w:szCs w:val="20"/>
                      <w:lang w:eastAsia="ru-RU"/>
                    </w:rPr>
                  </w:pPr>
                </w:p>
              </w:tc>
            </w:tr>
            <w:tr w:rsidR="00C61F61" w:rsidRPr="00094CA4" w:rsidTr="008773E8">
              <w:tc>
                <w:tcPr>
                  <w:tcW w:w="1255" w:type="dxa"/>
                </w:tcPr>
                <w:p w:rsidR="00C61F61" w:rsidRPr="00094CA4" w:rsidRDefault="00C61F61" w:rsidP="00C61F61">
                  <w:pPr>
                    <w:autoSpaceDE w:val="0"/>
                    <w:autoSpaceDN w:val="0"/>
                    <w:adjustRightInd w:val="0"/>
                    <w:jc w:val="left"/>
                    <w:rPr>
                      <w:rFonts w:ascii="Arial" w:hAnsi="Arial" w:cs="Arial"/>
                      <w:sz w:val="20"/>
                      <w:szCs w:val="20"/>
                      <w:lang w:eastAsia="ru-RU"/>
                    </w:rPr>
                  </w:pPr>
                  <w:r w:rsidRPr="00094CA4">
                    <w:rPr>
                      <w:rFonts w:ascii="Arial" w:hAnsi="Arial" w:cs="Arial"/>
                      <w:sz w:val="20"/>
                      <w:szCs w:val="20"/>
                      <w:lang w:eastAsia="ru-RU"/>
                    </w:rPr>
                    <w:t>2</w:t>
                  </w:r>
                  <w:r w:rsidRPr="00094CA4">
                    <w:rPr>
                      <w:rFonts w:ascii="Arial" w:hAnsi="Arial" w:cs="Arial"/>
                      <w:sz w:val="20"/>
                      <w:szCs w:val="20"/>
                      <w:vertAlign w:val="superscript"/>
                      <w:lang w:eastAsia="ru-RU"/>
                    </w:rPr>
                    <w:t>nd</w:t>
                  </w:r>
                  <w:r w:rsidRPr="00094CA4">
                    <w:rPr>
                      <w:rFonts w:ascii="Arial" w:hAnsi="Arial" w:cs="Arial"/>
                      <w:sz w:val="20"/>
                      <w:szCs w:val="20"/>
                      <w:lang w:eastAsia="ru-RU"/>
                    </w:rPr>
                    <w:t xml:space="preserve"> </w:t>
                  </w:r>
                  <w:r>
                    <w:rPr>
                      <w:rFonts w:ascii="Arial" w:hAnsi="Arial" w:cs="Arial"/>
                      <w:sz w:val="20"/>
                      <w:szCs w:val="20"/>
                      <w:lang w:eastAsia="ru-RU"/>
                    </w:rPr>
                    <w:t>payment</w:t>
                  </w:r>
                </w:p>
              </w:tc>
              <w:tc>
                <w:tcPr>
                  <w:tcW w:w="6570" w:type="dxa"/>
                </w:tcPr>
                <w:p w:rsidR="00C61F61" w:rsidRPr="00094CA4" w:rsidRDefault="00C61F61" w:rsidP="00C61F61">
                  <w:pPr>
                    <w:autoSpaceDE w:val="0"/>
                    <w:autoSpaceDN w:val="0"/>
                    <w:adjustRightInd w:val="0"/>
                    <w:jc w:val="left"/>
                    <w:rPr>
                      <w:rFonts w:ascii="Arial" w:hAnsi="Arial" w:cs="Arial"/>
                      <w:sz w:val="20"/>
                      <w:szCs w:val="20"/>
                      <w:lang w:eastAsia="ru-RU"/>
                    </w:rPr>
                  </w:pPr>
                  <w:r>
                    <w:rPr>
                      <w:rFonts w:ascii="Arial" w:hAnsi="Arial" w:cs="Arial"/>
                      <w:sz w:val="20"/>
                      <w:szCs w:val="20"/>
                      <w:lang w:eastAsia="ru-RU"/>
                    </w:rPr>
                    <w:t>Finalisation of all expected deliverables</w:t>
                  </w:r>
                </w:p>
              </w:tc>
              <w:tc>
                <w:tcPr>
                  <w:tcW w:w="1440" w:type="dxa"/>
                </w:tcPr>
                <w:p w:rsidR="00C61F61" w:rsidRPr="00094CA4" w:rsidRDefault="00C61F61" w:rsidP="00C61F61">
                  <w:pPr>
                    <w:autoSpaceDE w:val="0"/>
                    <w:autoSpaceDN w:val="0"/>
                    <w:adjustRightInd w:val="0"/>
                    <w:jc w:val="left"/>
                    <w:rPr>
                      <w:rFonts w:ascii="Arial" w:hAnsi="Arial" w:cs="Arial"/>
                      <w:sz w:val="20"/>
                      <w:szCs w:val="20"/>
                      <w:lang w:eastAsia="ru-RU"/>
                    </w:rPr>
                  </w:pPr>
                </w:p>
              </w:tc>
            </w:tr>
            <w:tr w:rsidR="00C61F61" w:rsidRPr="00094CA4" w:rsidTr="008773E8">
              <w:tc>
                <w:tcPr>
                  <w:tcW w:w="1255" w:type="dxa"/>
                </w:tcPr>
                <w:p w:rsidR="00C61F61" w:rsidRPr="00094CA4" w:rsidRDefault="00C61F61" w:rsidP="00C61F61">
                  <w:pPr>
                    <w:autoSpaceDE w:val="0"/>
                    <w:autoSpaceDN w:val="0"/>
                    <w:adjustRightInd w:val="0"/>
                    <w:jc w:val="left"/>
                    <w:rPr>
                      <w:rFonts w:ascii="Arial" w:hAnsi="Arial" w:cs="Arial"/>
                      <w:sz w:val="20"/>
                      <w:szCs w:val="20"/>
                      <w:lang w:eastAsia="ru-RU"/>
                    </w:rPr>
                  </w:pPr>
                </w:p>
              </w:tc>
              <w:tc>
                <w:tcPr>
                  <w:tcW w:w="6570" w:type="dxa"/>
                </w:tcPr>
                <w:p w:rsidR="00C61F61" w:rsidRPr="00094CA4" w:rsidRDefault="00C61F61" w:rsidP="00C61F61">
                  <w:pPr>
                    <w:jc w:val="left"/>
                    <w:rPr>
                      <w:rFonts w:ascii="Arial" w:hAnsi="Arial" w:cs="Arial"/>
                      <w:sz w:val="20"/>
                      <w:szCs w:val="20"/>
                      <w:lang w:eastAsia="ru-RU"/>
                    </w:rPr>
                  </w:pPr>
                  <w:r w:rsidRPr="00094CA4">
                    <w:rPr>
                      <w:rFonts w:ascii="Arial" w:hAnsi="Arial" w:cs="Arial"/>
                      <w:sz w:val="20"/>
                      <w:szCs w:val="20"/>
                      <w:lang w:eastAsia="ru-RU"/>
                    </w:rPr>
                    <w:t>Total</w:t>
                  </w:r>
                </w:p>
              </w:tc>
              <w:tc>
                <w:tcPr>
                  <w:tcW w:w="1440" w:type="dxa"/>
                </w:tcPr>
                <w:p w:rsidR="00C61F61" w:rsidRPr="00094CA4" w:rsidRDefault="00C61F61" w:rsidP="00C61F61">
                  <w:pPr>
                    <w:autoSpaceDE w:val="0"/>
                    <w:autoSpaceDN w:val="0"/>
                    <w:adjustRightInd w:val="0"/>
                    <w:jc w:val="left"/>
                    <w:rPr>
                      <w:rFonts w:ascii="Arial" w:hAnsi="Arial" w:cs="Arial"/>
                      <w:sz w:val="20"/>
                      <w:szCs w:val="20"/>
                      <w:lang w:eastAsia="ru-RU"/>
                    </w:rPr>
                  </w:pPr>
                </w:p>
              </w:tc>
            </w:tr>
          </w:tbl>
          <w:p w:rsidR="00C61F61" w:rsidRPr="00670000" w:rsidRDefault="00C61F61" w:rsidP="00C61F61">
            <w:pPr>
              <w:tabs>
                <w:tab w:val="left" w:pos="720"/>
                <w:tab w:val="left" w:pos="1440"/>
                <w:tab w:val="left" w:pos="2428"/>
              </w:tabs>
              <w:rPr>
                <w:rFonts w:cs="Tahoma"/>
                <w:b/>
                <w:szCs w:val="22"/>
                <w:lang w:val="en-AU"/>
              </w:rPr>
            </w:pPr>
            <w:r w:rsidRPr="00670000">
              <w:rPr>
                <w:rFonts w:cs="Tahoma"/>
                <w:b/>
                <w:szCs w:val="22"/>
                <w:lang w:val="en-AU"/>
              </w:rPr>
              <w:t>Confidentiality:</w:t>
            </w:r>
            <w:r w:rsidRPr="00670000">
              <w:rPr>
                <w:rFonts w:cs="Tahoma"/>
                <w:b/>
                <w:szCs w:val="22"/>
                <w:lang w:val="en-AU"/>
              </w:rPr>
              <w:tab/>
            </w:r>
            <w:r>
              <w:rPr>
                <w:rFonts w:cs="Tahoma"/>
                <w:b/>
                <w:szCs w:val="22"/>
                <w:lang w:val="en-AU"/>
              </w:rPr>
              <w:tab/>
            </w:r>
          </w:p>
          <w:p w:rsidR="00C61F61" w:rsidRDefault="00C61F61" w:rsidP="00C61F61">
            <w:pPr>
              <w:rPr>
                <w:rFonts w:cs="Tahoma"/>
                <w:szCs w:val="22"/>
                <w:lang w:val="en-AU"/>
              </w:rPr>
            </w:pPr>
            <w:r w:rsidRPr="006E7AE5">
              <w:rPr>
                <w:rFonts w:cs="Tahoma"/>
                <w:szCs w:val="22"/>
                <w:lang w:val="en-AU"/>
              </w:rPr>
              <w:lastRenderedPageBreak/>
              <w:t>The documents produced during the period of this consultancy will be treated as strictly confidential, and the rights of distribution and/ or publication will reside solely with UNICEF.</w:t>
            </w:r>
            <w:r w:rsidRPr="00AF487C">
              <w:rPr>
                <w:rFonts w:cs="Tahoma"/>
                <w:szCs w:val="22"/>
                <w:lang w:val="en-AU"/>
              </w:rPr>
              <w:t xml:space="preserve"> </w:t>
            </w:r>
          </w:p>
          <w:p w:rsidR="00C61F61" w:rsidRDefault="00C61F61" w:rsidP="00C61F61">
            <w:pPr>
              <w:rPr>
                <w:rFonts w:cs="Tahoma"/>
                <w:szCs w:val="22"/>
                <w:lang w:val="en-AU"/>
              </w:rPr>
            </w:pPr>
          </w:p>
          <w:p w:rsidR="00C61F61" w:rsidRPr="006E7AE5" w:rsidRDefault="00C61F61" w:rsidP="00C61F61">
            <w:pPr>
              <w:rPr>
                <w:rFonts w:cs="Tahoma"/>
                <w:szCs w:val="22"/>
                <w:lang w:val="en-AU"/>
              </w:rPr>
            </w:pPr>
            <w:r w:rsidRPr="00AF487C">
              <w:rPr>
                <w:rFonts w:cs="Tahoma"/>
                <w:szCs w:val="22"/>
                <w:lang w:val="en-AU"/>
              </w:rPr>
              <w:t>The contract signed with the consultant will include the other general terms defined by UNICEF.</w:t>
            </w:r>
          </w:p>
        </w:tc>
      </w:tr>
      <w:tr w:rsidR="00C61F61" w:rsidRPr="006E7AE5" w:rsidTr="00B81A5F">
        <w:tc>
          <w:tcPr>
            <w:tcW w:w="10260" w:type="dxa"/>
            <w:gridSpan w:val="3"/>
          </w:tcPr>
          <w:p w:rsidR="00C61F61" w:rsidRPr="00FA3389" w:rsidRDefault="00C61F61" w:rsidP="00C61F61">
            <w:pPr>
              <w:pStyle w:val="ListParagraph"/>
              <w:numPr>
                <w:ilvl w:val="0"/>
                <w:numId w:val="7"/>
              </w:numPr>
              <w:ind w:left="342" w:hanging="342"/>
              <w:rPr>
                <w:rFonts w:cs="Tahoma"/>
                <w:szCs w:val="22"/>
              </w:rPr>
            </w:pPr>
            <w:r w:rsidRPr="00FA3389">
              <w:rPr>
                <w:rFonts w:cs="Tahoma"/>
                <w:szCs w:val="22"/>
              </w:rPr>
              <w:lastRenderedPageBreak/>
              <w:t>Nature of Penalty Clause to be stipulated in the contract:</w:t>
            </w:r>
          </w:p>
          <w:p w:rsidR="00C61F61" w:rsidRPr="006E7AE5" w:rsidRDefault="00C61F61" w:rsidP="00C61F61">
            <w:pPr>
              <w:pStyle w:val="BodyText3"/>
              <w:tabs>
                <w:tab w:val="clear" w:pos="720"/>
              </w:tabs>
              <w:rPr>
                <w:rFonts w:asciiTheme="minorHAnsi" w:hAnsiTheme="minorHAnsi" w:cs="Tahoma"/>
                <w:b/>
                <w:szCs w:val="22"/>
              </w:rPr>
            </w:pPr>
            <w:r w:rsidRPr="006E7AE5">
              <w:rPr>
                <w:rFonts w:asciiTheme="minorHAnsi" w:hAnsiTheme="minorHAnsi" w:cs="Tahoma"/>
                <w:szCs w:val="22"/>
              </w:rPr>
              <w:t>UNICEF Myanmar reserves the right not to pay the Contractor or withhold part of the payable amount if one or more requirements established for this assignment is not met or deadline set for the accomplishment of the tasks is missed.</w:t>
            </w:r>
          </w:p>
        </w:tc>
      </w:tr>
    </w:tbl>
    <w:p w:rsidR="006F5C7E" w:rsidRPr="006E7AE5" w:rsidRDefault="006F5C7E" w:rsidP="00DC6462">
      <w:pPr>
        <w:rPr>
          <w:rFonts w:cs="Tahoma"/>
          <w:szCs w:val="22"/>
        </w:rPr>
      </w:pPr>
      <w:bookmarkStart w:id="0" w:name="_GoBack"/>
      <w:bookmarkEnd w:id="0"/>
    </w:p>
    <w:sectPr w:rsidR="006F5C7E" w:rsidRPr="006E7AE5" w:rsidSect="00866ECE">
      <w:headerReference w:type="default" r:id="rId8"/>
      <w:footerReference w:type="default" r:id="rId9"/>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E05" w:rsidRDefault="00BB5E05">
      <w:r>
        <w:separator/>
      </w:r>
    </w:p>
  </w:endnote>
  <w:endnote w:type="continuationSeparator" w:id="0">
    <w:p w:rsidR="00BB5E05" w:rsidRDefault="00BB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61" w:rsidRDefault="00B06A9C">
    <w:pPr>
      <w:pStyle w:val="Footer"/>
      <w:rPr>
        <w:rFonts w:ascii="Arial" w:hAnsi="Arial" w:cs="Arial"/>
        <w:b/>
        <w:sz w:val="20"/>
      </w:rPr>
    </w:pPr>
    <w:r>
      <w:rPr>
        <w:rFonts w:ascii="Tahoma" w:eastAsiaTheme="majorEastAsia" w:hAnsi="Tahoma" w:cs="Tahoma"/>
      </w:rPr>
      <w:t xml:space="preserve">TOR </w:t>
    </w:r>
    <w:r w:rsidR="008D3A21">
      <w:rPr>
        <w:rFonts w:ascii="Tahoma" w:eastAsiaTheme="majorEastAsia" w:hAnsi="Tahoma" w:cs="Tahoma"/>
      </w:rPr>
      <w:t>Consultancy</w:t>
    </w:r>
    <w:r w:rsidR="000C55E9">
      <w:rPr>
        <w:rFonts w:ascii="Tahoma" w:eastAsiaTheme="majorEastAsia" w:hAnsi="Tahoma" w:cs="Tahoma"/>
      </w:rPr>
      <w:t xml:space="preserve"> for </w:t>
    </w:r>
    <w:r w:rsidR="00C61F61">
      <w:rPr>
        <w:rFonts w:ascii="Arial" w:hAnsi="Arial" w:cs="Arial"/>
        <w:b/>
        <w:sz w:val="20"/>
      </w:rPr>
      <w:t>Mental Health and Psychosocial Support Services (</w:t>
    </w:r>
    <w:r w:rsidR="00C61F61" w:rsidRPr="00094CA4">
      <w:rPr>
        <w:rFonts w:ascii="Arial" w:hAnsi="Arial" w:cs="Arial"/>
        <w:b/>
        <w:sz w:val="20"/>
      </w:rPr>
      <w:t>Consultant</w:t>
    </w:r>
    <w:r w:rsidR="00C61F61">
      <w:rPr>
        <w:rFonts w:ascii="Arial" w:hAnsi="Arial" w:cs="Arial"/>
        <w:b/>
        <w:sz w:val="20"/>
      </w:rPr>
      <w:t>)</w:t>
    </w:r>
  </w:p>
  <w:p w:rsidR="00B06A9C" w:rsidRPr="008D3A21" w:rsidRDefault="00B06A9C">
    <w:pPr>
      <w:pStyle w:val="Footer"/>
      <w:rPr>
        <w:rFonts w:ascii="Tahoma" w:eastAsiaTheme="majorEastAsia" w:hAnsi="Tahoma" w:cs="Tahoma"/>
      </w:rPr>
    </w:pP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1343F1" w:rsidRPr="001343F1">
      <w:rPr>
        <w:rFonts w:ascii="Tahoma" w:eastAsiaTheme="majorEastAsia" w:hAnsi="Tahoma" w:cs="Tahoma"/>
        <w:noProof/>
      </w:rPr>
      <w:t>1</w:t>
    </w:r>
    <w:r w:rsidR="002B4B38" w:rsidRPr="00B06A9C">
      <w:rPr>
        <w:rFonts w:ascii="Tahoma" w:eastAsiaTheme="majorEastAsia" w:hAnsi="Tahoma" w:cs="Tahoma"/>
        <w:noProof/>
      </w:rPr>
      <w:fldChar w:fldCharType="end"/>
    </w:r>
    <w:r w:rsidR="003634D2">
      <w:rPr>
        <w:rFonts w:ascii="Tahoma" w:hAnsi="Tahoma" w:cs="Tahoma"/>
        <w:noProof/>
        <w:lang w:val="en-US"/>
      </w:rPr>
      <mc:AlternateContent>
        <mc:Choice Requires="wpg">
          <w:drawing>
            <wp:anchor distT="0" distB="0" distL="114300" distR="114300" simplePos="0" relativeHeight="251655168" behindDoc="0" locked="0" layoutInCell="0" allowOverlap="1" wp14:anchorId="40F490CD" wp14:editId="0163DFFE">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B06C466"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634D2">
      <w:rPr>
        <w:rFonts w:ascii="Tahoma" w:hAnsi="Tahoma" w:cs="Tahoma"/>
        <w:noProof/>
        <w:lang w:val="en-US"/>
      </w:rPr>
      <mc:AlternateContent>
        <mc:Choice Requires="wps">
          <w:drawing>
            <wp:anchor distT="0" distB="0" distL="114300" distR="114300" simplePos="0" relativeHeight="251659264" behindDoc="0" locked="0" layoutInCell="1" allowOverlap="1" wp14:anchorId="6F94CCBE" wp14:editId="3A7F7B14">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7651499"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Pr>
        <w:rFonts w:ascii="Tahoma" w:hAnsi="Tahoma" w:cs="Tahoma"/>
        <w:noProof/>
        <w:lang w:val="en-US"/>
      </w:rPr>
      <mc:AlternateContent>
        <mc:Choice Requires="wps">
          <w:drawing>
            <wp:anchor distT="0" distB="0" distL="114300" distR="114300" simplePos="0" relativeHeight="251656192" behindDoc="0" locked="0" layoutInCell="1" allowOverlap="1" wp14:anchorId="47A17C6A" wp14:editId="192ED9A8">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C0300BE"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E05" w:rsidRDefault="00BB5E05">
      <w:r>
        <w:separator/>
      </w:r>
    </w:p>
  </w:footnote>
  <w:footnote w:type="continuationSeparator" w:id="0">
    <w:p w:rsidR="00BB5E05" w:rsidRDefault="00BB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CE" w:rsidRDefault="00866ECE" w:rsidP="004F3D9C">
    <w:pPr>
      <w:pStyle w:val="Header"/>
      <w:rPr>
        <w:rFonts w:ascii="Tahoma" w:eastAsiaTheme="majorEastAsia" w:hAnsi="Tahoma" w:cs="Tahoma"/>
        <w:lang w:val="en-US"/>
      </w:rPr>
    </w:pPr>
  </w:p>
  <w:p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B40C91F" wp14:editId="5F70A345">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6BB52569"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7F347550" wp14:editId="1A8589CE">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D35667B"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10047489" wp14:editId="15F7774D">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B461733"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ABC"/>
    <w:multiLevelType w:val="hybridMultilevel"/>
    <w:tmpl w:val="309C5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65473B"/>
    <w:multiLevelType w:val="hybridMultilevel"/>
    <w:tmpl w:val="966E6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E219AF"/>
    <w:multiLevelType w:val="hybridMultilevel"/>
    <w:tmpl w:val="A558AEB0"/>
    <w:lvl w:ilvl="0" w:tplc="4036A63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265BE8"/>
    <w:multiLevelType w:val="hybridMultilevel"/>
    <w:tmpl w:val="BD54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6"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4D0E5F"/>
    <w:multiLevelType w:val="hybridMultilevel"/>
    <w:tmpl w:val="1B5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676C9"/>
    <w:multiLevelType w:val="hybridMultilevel"/>
    <w:tmpl w:val="9142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F50691E"/>
    <w:multiLevelType w:val="hybridMultilevel"/>
    <w:tmpl w:val="E94E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2"/>
  </w:num>
  <w:num w:numId="4">
    <w:abstractNumId w:val="6"/>
  </w:num>
  <w:num w:numId="5">
    <w:abstractNumId w:val="11"/>
  </w:num>
  <w:num w:numId="6">
    <w:abstractNumId w:val="7"/>
  </w:num>
  <w:num w:numId="7">
    <w:abstractNumId w:val="8"/>
  </w:num>
  <w:num w:numId="8">
    <w:abstractNumId w:val="10"/>
  </w:num>
  <w:num w:numId="9">
    <w:abstractNumId w:val="9"/>
  </w:num>
  <w:num w:numId="10">
    <w:abstractNumId w:val="4"/>
  </w:num>
  <w:num w:numId="11">
    <w:abstractNumId w:val="3"/>
  </w:num>
  <w:num w:numId="12">
    <w:abstractNumId w:val="2"/>
  </w:num>
  <w:num w:numId="13">
    <w:abstractNumId w:val="13"/>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4E11"/>
    <w:rsid w:val="000128F7"/>
    <w:rsid w:val="00013A5A"/>
    <w:rsid w:val="00015F5D"/>
    <w:rsid w:val="00016468"/>
    <w:rsid w:val="000302E3"/>
    <w:rsid w:val="00031FAE"/>
    <w:rsid w:val="00035ADE"/>
    <w:rsid w:val="0004001E"/>
    <w:rsid w:val="000405D1"/>
    <w:rsid w:val="0004217C"/>
    <w:rsid w:val="00052C95"/>
    <w:rsid w:val="00056C4B"/>
    <w:rsid w:val="00057328"/>
    <w:rsid w:val="0005749C"/>
    <w:rsid w:val="00065638"/>
    <w:rsid w:val="0008553B"/>
    <w:rsid w:val="00086E79"/>
    <w:rsid w:val="0009285C"/>
    <w:rsid w:val="000964EB"/>
    <w:rsid w:val="000A2E64"/>
    <w:rsid w:val="000A2FF4"/>
    <w:rsid w:val="000A40CF"/>
    <w:rsid w:val="000A6DD5"/>
    <w:rsid w:val="000A749E"/>
    <w:rsid w:val="000C0B9A"/>
    <w:rsid w:val="000C51C1"/>
    <w:rsid w:val="000C55E9"/>
    <w:rsid w:val="000C5EB3"/>
    <w:rsid w:val="000C5F53"/>
    <w:rsid w:val="000D4058"/>
    <w:rsid w:val="000D6D3E"/>
    <w:rsid w:val="000E40C6"/>
    <w:rsid w:val="000F0BE4"/>
    <w:rsid w:val="000F6CEC"/>
    <w:rsid w:val="00113CAB"/>
    <w:rsid w:val="001208FA"/>
    <w:rsid w:val="00121DF2"/>
    <w:rsid w:val="0012465C"/>
    <w:rsid w:val="00125DAC"/>
    <w:rsid w:val="001266B4"/>
    <w:rsid w:val="00126E47"/>
    <w:rsid w:val="001327C4"/>
    <w:rsid w:val="001343F1"/>
    <w:rsid w:val="001415BD"/>
    <w:rsid w:val="00141B28"/>
    <w:rsid w:val="00143EAC"/>
    <w:rsid w:val="00145A1B"/>
    <w:rsid w:val="001466C9"/>
    <w:rsid w:val="001512C2"/>
    <w:rsid w:val="0017144C"/>
    <w:rsid w:val="00172467"/>
    <w:rsid w:val="001809BC"/>
    <w:rsid w:val="00186387"/>
    <w:rsid w:val="00186867"/>
    <w:rsid w:val="00190F7E"/>
    <w:rsid w:val="00192489"/>
    <w:rsid w:val="00194096"/>
    <w:rsid w:val="001A3568"/>
    <w:rsid w:val="001A3D1B"/>
    <w:rsid w:val="001B17AD"/>
    <w:rsid w:val="001B44E4"/>
    <w:rsid w:val="001C39F8"/>
    <w:rsid w:val="001C66F5"/>
    <w:rsid w:val="001D2A70"/>
    <w:rsid w:val="001D51C0"/>
    <w:rsid w:val="001E058E"/>
    <w:rsid w:val="001E0650"/>
    <w:rsid w:val="001E30D6"/>
    <w:rsid w:val="001E405C"/>
    <w:rsid w:val="001E4572"/>
    <w:rsid w:val="001E7EEC"/>
    <w:rsid w:val="001F274A"/>
    <w:rsid w:val="001F4950"/>
    <w:rsid w:val="002000FB"/>
    <w:rsid w:val="002132DA"/>
    <w:rsid w:val="00217810"/>
    <w:rsid w:val="00230149"/>
    <w:rsid w:val="00230B3A"/>
    <w:rsid w:val="00235A32"/>
    <w:rsid w:val="00246E7C"/>
    <w:rsid w:val="002471BC"/>
    <w:rsid w:val="00250FAD"/>
    <w:rsid w:val="002568F4"/>
    <w:rsid w:val="00260192"/>
    <w:rsid w:val="002631FD"/>
    <w:rsid w:val="00263D04"/>
    <w:rsid w:val="00264DCC"/>
    <w:rsid w:val="002749DE"/>
    <w:rsid w:val="00281B61"/>
    <w:rsid w:val="00286CE7"/>
    <w:rsid w:val="00292946"/>
    <w:rsid w:val="00293ACF"/>
    <w:rsid w:val="00294682"/>
    <w:rsid w:val="002963F0"/>
    <w:rsid w:val="002B0969"/>
    <w:rsid w:val="002B0D24"/>
    <w:rsid w:val="002B4B38"/>
    <w:rsid w:val="002B6E58"/>
    <w:rsid w:val="002D16DC"/>
    <w:rsid w:val="002D3ACE"/>
    <w:rsid w:val="002D61BB"/>
    <w:rsid w:val="002D644E"/>
    <w:rsid w:val="002E17DC"/>
    <w:rsid w:val="002E39FC"/>
    <w:rsid w:val="002E4739"/>
    <w:rsid w:val="002F7E0F"/>
    <w:rsid w:val="003016E0"/>
    <w:rsid w:val="00311314"/>
    <w:rsid w:val="00314B23"/>
    <w:rsid w:val="00326A9C"/>
    <w:rsid w:val="00336F77"/>
    <w:rsid w:val="003374B0"/>
    <w:rsid w:val="003531A9"/>
    <w:rsid w:val="0035498F"/>
    <w:rsid w:val="003634D2"/>
    <w:rsid w:val="00367545"/>
    <w:rsid w:val="00370C2D"/>
    <w:rsid w:val="00372A77"/>
    <w:rsid w:val="003834E2"/>
    <w:rsid w:val="00384D8F"/>
    <w:rsid w:val="00392F3A"/>
    <w:rsid w:val="00393A96"/>
    <w:rsid w:val="003A1EF8"/>
    <w:rsid w:val="003A259A"/>
    <w:rsid w:val="003B272C"/>
    <w:rsid w:val="003B48A3"/>
    <w:rsid w:val="003B5C17"/>
    <w:rsid w:val="003B66E3"/>
    <w:rsid w:val="003B6733"/>
    <w:rsid w:val="003C1CB7"/>
    <w:rsid w:val="003C4533"/>
    <w:rsid w:val="003C4AE6"/>
    <w:rsid w:val="003C5627"/>
    <w:rsid w:val="003D1E5B"/>
    <w:rsid w:val="003F0539"/>
    <w:rsid w:val="003F43C1"/>
    <w:rsid w:val="004039E4"/>
    <w:rsid w:val="00405B72"/>
    <w:rsid w:val="00406D45"/>
    <w:rsid w:val="00410127"/>
    <w:rsid w:val="00410850"/>
    <w:rsid w:val="0041135D"/>
    <w:rsid w:val="00417DCB"/>
    <w:rsid w:val="00420910"/>
    <w:rsid w:val="00421D69"/>
    <w:rsid w:val="00426123"/>
    <w:rsid w:val="00464974"/>
    <w:rsid w:val="004649EC"/>
    <w:rsid w:val="00474682"/>
    <w:rsid w:val="00475B95"/>
    <w:rsid w:val="00475E96"/>
    <w:rsid w:val="00476130"/>
    <w:rsid w:val="00477D57"/>
    <w:rsid w:val="00477FC2"/>
    <w:rsid w:val="00483B47"/>
    <w:rsid w:val="00490EFC"/>
    <w:rsid w:val="004913E8"/>
    <w:rsid w:val="00497391"/>
    <w:rsid w:val="004A3926"/>
    <w:rsid w:val="004A4FB5"/>
    <w:rsid w:val="004B51AC"/>
    <w:rsid w:val="004B7CF2"/>
    <w:rsid w:val="004C4CA3"/>
    <w:rsid w:val="004C4DE1"/>
    <w:rsid w:val="004C5557"/>
    <w:rsid w:val="004C7CC2"/>
    <w:rsid w:val="004E0045"/>
    <w:rsid w:val="004E48D9"/>
    <w:rsid w:val="004F3D9C"/>
    <w:rsid w:val="004F4035"/>
    <w:rsid w:val="004F7BF6"/>
    <w:rsid w:val="005027ED"/>
    <w:rsid w:val="005067B5"/>
    <w:rsid w:val="005077B5"/>
    <w:rsid w:val="00511325"/>
    <w:rsid w:val="005227BE"/>
    <w:rsid w:val="005319B8"/>
    <w:rsid w:val="005608AC"/>
    <w:rsid w:val="0057170F"/>
    <w:rsid w:val="00572E67"/>
    <w:rsid w:val="00577EC0"/>
    <w:rsid w:val="00583821"/>
    <w:rsid w:val="00590285"/>
    <w:rsid w:val="0059728E"/>
    <w:rsid w:val="005A16A8"/>
    <w:rsid w:val="005A5BF0"/>
    <w:rsid w:val="005A7500"/>
    <w:rsid w:val="005B325C"/>
    <w:rsid w:val="005B45B8"/>
    <w:rsid w:val="005C1716"/>
    <w:rsid w:val="005C2DE3"/>
    <w:rsid w:val="005C7BCD"/>
    <w:rsid w:val="005D34BC"/>
    <w:rsid w:val="005D544C"/>
    <w:rsid w:val="005E373C"/>
    <w:rsid w:val="005E5DDB"/>
    <w:rsid w:val="005E6C51"/>
    <w:rsid w:val="005F29DE"/>
    <w:rsid w:val="00601EA6"/>
    <w:rsid w:val="00603D08"/>
    <w:rsid w:val="00607A74"/>
    <w:rsid w:val="00610BF8"/>
    <w:rsid w:val="00610F73"/>
    <w:rsid w:val="00611F09"/>
    <w:rsid w:val="006121DC"/>
    <w:rsid w:val="00612C06"/>
    <w:rsid w:val="00615B4B"/>
    <w:rsid w:val="00626195"/>
    <w:rsid w:val="00627FDC"/>
    <w:rsid w:val="006309C1"/>
    <w:rsid w:val="00637809"/>
    <w:rsid w:val="00637C65"/>
    <w:rsid w:val="00640A3E"/>
    <w:rsid w:val="00643730"/>
    <w:rsid w:val="00643DD5"/>
    <w:rsid w:val="00652AC3"/>
    <w:rsid w:val="00663288"/>
    <w:rsid w:val="00667233"/>
    <w:rsid w:val="00667D83"/>
    <w:rsid w:val="00670000"/>
    <w:rsid w:val="00671482"/>
    <w:rsid w:val="00680855"/>
    <w:rsid w:val="00693D4D"/>
    <w:rsid w:val="006A0A5E"/>
    <w:rsid w:val="006A3944"/>
    <w:rsid w:val="006A3B08"/>
    <w:rsid w:val="006C7D6A"/>
    <w:rsid w:val="006D01FD"/>
    <w:rsid w:val="006D07FC"/>
    <w:rsid w:val="006D21F8"/>
    <w:rsid w:val="006E64D7"/>
    <w:rsid w:val="006E7AE5"/>
    <w:rsid w:val="006F34DE"/>
    <w:rsid w:val="006F5A9C"/>
    <w:rsid w:val="006F5C7E"/>
    <w:rsid w:val="006F6774"/>
    <w:rsid w:val="00702277"/>
    <w:rsid w:val="007040BE"/>
    <w:rsid w:val="00707602"/>
    <w:rsid w:val="00710618"/>
    <w:rsid w:val="00711FE9"/>
    <w:rsid w:val="00726A4B"/>
    <w:rsid w:val="00732CCB"/>
    <w:rsid w:val="00737189"/>
    <w:rsid w:val="00742B90"/>
    <w:rsid w:val="00745D4E"/>
    <w:rsid w:val="007509A0"/>
    <w:rsid w:val="007511E2"/>
    <w:rsid w:val="00755C83"/>
    <w:rsid w:val="007642BB"/>
    <w:rsid w:val="0076466D"/>
    <w:rsid w:val="00767554"/>
    <w:rsid w:val="00767FD4"/>
    <w:rsid w:val="0077516E"/>
    <w:rsid w:val="007762FA"/>
    <w:rsid w:val="0078242C"/>
    <w:rsid w:val="007A09AE"/>
    <w:rsid w:val="007B5719"/>
    <w:rsid w:val="007C2079"/>
    <w:rsid w:val="007C46BB"/>
    <w:rsid w:val="007C4AD2"/>
    <w:rsid w:val="007C7B1F"/>
    <w:rsid w:val="007D1120"/>
    <w:rsid w:val="007D25DF"/>
    <w:rsid w:val="007F586D"/>
    <w:rsid w:val="00806204"/>
    <w:rsid w:val="00817BBB"/>
    <w:rsid w:val="0083247C"/>
    <w:rsid w:val="00834E99"/>
    <w:rsid w:val="00850019"/>
    <w:rsid w:val="008529F3"/>
    <w:rsid w:val="00854058"/>
    <w:rsid w:val="00857319"/>
    <w:rsid w:val="00863B6F"/>
    <w:rsid w:val="0086683B"/>
    <w:rsid w:val="00866ECE"/>
    <w:rsid w:val="008713CC"/>
    <w:rsid w:val="00871615"/>
    <w:rsid w:val="00872E83"/>
    <w:rsid w:val="00873B6A"/>
    <w:rsid w:val="008745C1"/>
    <w:rsid w:val="00881712"/>
    <w:rsid w:val="00881ED3"/>
    <w:rsid w:val="0088261C"/>
    <w:rsid w:val="0088675C"/>
    <w:rsid w:val="00887950"/>
    <w:rsid w:val="00897EBC"/>
    <w:rsid w:val="008A1C95"/>
    <w:rsid w:val="008A1EDF"/>
    <w:rsid w:val="008A40C6"/>
    <w:rsid w:val="008A757A"/>
    <w:rsid w:val="008C0184"/>
    <w:rsid w:val="008C290F"/>
    <w:rsid w:val="008C2ED5"/>
    <w:rsid w:val="008C3966"/>
    <w:rsid w:val="008C556D"/>
    <w:rsid w:val="008D008D"/>
    <w:rsid w:val="008D043C"/>
    <w:rsid w:val="008D1A52"/>
    <w:rsid w:val="008D3A21"/>
    <w:rsid w:val="008D4075"/>
    <w:rsid w:val="008D4534"/>
    <w:rsid w:val="008F2224"/>
    <w:rsid w:val="008F2877"/>
    <w:rsid w:val="00901522"/>
    <w:rsid w:val="009114FF"/>
    <w:rsid w:val="009117C7"/>
    <w:rsid w:val="00913508"/>
    <w:rsid w:val="00916BC2"/>
    <w:rsid w:val="009173B4"/>
    <w:rsid w:val="00923597"/>
    <w:rsid w:val="00924C8E"/>
    <w:rsid w:val="009367B6"/>
    <w:rsid w:val="009374A5"/>
    <w:rsid w:val="00941211"/>
    <w:rsid w:val="009474EF"/>
    <w:rsid w:val="00950DEB"/>
    <w:rsid w:val="009549B2"/>
    <w:rsid w:val="00960A0F"/>
    <w:rsid w:val="009621E9"/>
    <w:rsid w:val="0096240D"/>
    <w:rsid w:val="009650A8"/>
    <w:rsid w:val="00970E03"/>
    <w:rsid w:val="00971BA1"/>
    <w:rsid w:val="00974486"/>
    <w:rsid w:val="00974864"/>
    <w:rsid w:val="00974BF9"/>
    <w:rsid w:val="00976AA5"/>
    <w:rsid w:val="00984CA2"/>
    <w:rsid w:val="009A0E44"/>
    <w:rsid w:val="009A3EFB"/>
    <w:rsid w:val="009A5E22"/>
    <w:rsid w:val="009A6843"/>
    <w:rsid w:val="009C1D3F"/>
    <w:rsid w:val="009C3FD4"/>
    <w:rsid w:val="009C589D"/>
    <w:rsid w:val="009E4FE6"/>
    <w:rsid w:val="009F3655"/>
    <w:rsid w:val="00A15397"/>
    <w:rsid w:val="00A219B7"/>
    <w:rsid w:val="00A26074"/>
    <w:rsid w:val="00A26EB5"/>
    <w:rsid w:val="00A27476"/>
    <w:rsid w:val="00A32A34"/>
    <w:rsid w:val="00A3327C"/>
    <w:rsid w:val="00A44AB5"/>
    <w:rsid w:val="00A51666"/>
    <w:rsid w:val="00A562FA"/>
    <w:rsid w:val="00A70720"/>
    <w:rsid w:val="00A72265"/>
    <w:rsid w:val="00A75285"/>
    <w:rsid w:val="00A779AD"/>
    <w:rsid w:val="00A90BF1"/>
    <w:rsid w:val="00A94395"/>
    <w:rsid w:val="00A9565A"/>
    <w:rsid w:val="00AB1DE7"/>
    <w:rsid w:val="00AB2046"/>
    <w:rsid w:val="00AB2B77"/>
    <w:rsid w:val="00AB69EC"/>
    <w:rsid w:val="00AC1BA0"/>
    <w:rsid w:val="00AD4CAA"/>
    <w:rsid w:val="00AD67D0"/>
    <w:rsid w:val="00AE0770"/>
    <w:rsid w:val="00AE2655"/>
    <w:rsid w:val="00AE30EF"/>
    <w:rsid w:val="00AE5E8D"/>
    <w:rsid w:val="00AE7601"/>
    <w:rsid w:val="00AE7FAE"/>
    <w:rsid w:val="00AF0842"/>
    <w:rsid w:val="00AF4017"/>
    <w:rsid w:val="00AF487C"/>
    <w:rsid w:val="00B06A9C"/>
    <w:rsid w:val="00B221C1"/>
    <w:rsid w:val="00B26911"/>
    <w:rsid w:val="00B45644"/>
    <w:rsid w:val="00B5095E"/>
    <w:rsid w:val="00B514EF"/>
    <w:rsid w:val="00B56FCF"/>
    <w:rsid w:val="00B60B69"/>
    <w:rsid w:val="00B638E1"/>
    <w:rsid w:val="00B73FF3"/>
    <w:rsid w:val="00B81A5F"/>
    <w:rsid w:val="00B83111"/>
    <w:rsid w:val="00B871D2"/>
    <w:rsid w:val="00B92A07"/>
    <w:rsid w:val="00BA3793"/>
    <w:rsid w:val="00BA4DC7"/>
    <w:rsid w:val="00BA59CE"/>
    <w:rsid w:val="00BA64B9"/>
    <w:rsid w:val="00BB0245"/>
    <w:rsid w:val="00BB0874"/>
    <w:rsid w:val="00BB1012"/>
    <w:rsid w:val="00BB43FF"/>
    <w:rsid w:val="00BB515A"/>
    <w:rsid w:val="00BB5E05"/>
    <w:rsid w:val="00BC5C25"/>
    <w:rsid w:val="00BD1B85"/>
    <w:rsid w:val="00BF4018"/>
    <w:rsid w:val="00C05D7C"/>
    <w:rsid w:val="00C11957"/>
    <w:rsid w:val="00C13C16"/>
    <w:rsid w:val="00C2094F"/>
    <w:rsid w:val="00C22CB0"/>
    <w:rsid w:val="00C3126A"/>
    <w:rsid w:val="00C55162"/>
    <w:rsid w:val="00C61F61"/>
    <w:rsid w:val="00C65569"/>
    <w:rsid w:val="00C7171E"/>
    <w:rsid w:val="00C73548"/>
    <w:rsid w:val="00C73DEE"/>
    <w:rsid w:val="00C73E69"/>
    <w:rsid w:val="00C7489F"/>
    <w:rsid w:val="00C74F76"/>
    <w:rsid w:val="00C75117"/>
    <w:rsid w:val="00C84DA5"/>
    <w:rsid w:val="00C8717C"/>
    <w:rsid w:val="00C9138D"/>
    <w:rsid w:val="00C97823"/>
    <w:rsid w:val="00CA4B8A"/>
    <w:rsid w:val="00CB1E4B"/>
    <w:rsid w:val="00CB44E8"/>
    <w:rsid w:val="00CB530E"/>
    <w:rsid w:val="00CB6FCB"/>
    <w:rsid w:val="00CC1B2D"/>
    <w:rsid w:val="00CC2244"/>
    <w:rsid w:val="00CC7E82"/>
    <w:rsid w:val="00CD2C3B"/>
    <w:rsid w:val="00CD3056"/>
    <w:rsid w:val="00CD3E6F"/>
    <w:rsid w:val="00CD6B82"/>
    <w:rsid w:val="00CE6929"/>
    <w:rsid w:val="00CF704C"/>
    <w:rsid w:val="00D005C2"/>
    <w:rsid w:val="00D12545"/>
    <w:rsid w:val="00D16359"/>
    <w:rsid w:val="00D20970"/>
    <w:rsid w:val="00D20AED"/>
    <w:rsid w:val="00D2385C"/>
    <w:rsid w:val="00D25DC1"/>
    <w:rsid w:val="00D30CE3"/>
    <w:rsid w:val="00D414AD"/>
    <w:rsid w:val="00D42991"/>
    <w:rsid w:val="00D45A13"/>
    <w:rsid w:val="00D61597"/>
    <w:rsid w:val="00D64BC6"/>
    <w:rsid w:val="00D7270E"/>
    <w:rsid w:val="00D73159"/>
    <w:rsid w:val="00D7759F"/>
    <w:rsid w:val="00D97FAD"/>
    <w:rsid w:val="00DB2E5A"/>
    <w:rsid w:val="00DB7861"/>
    <w:rsid w:val="00DC2C8F"/>
    <w:rsid w:val="00DC46B3"/>
    <w:rsid w:val="00DC6462"/>
    <w:rsid w:val="00DF0267"/>
    <w:rsid w:val="00DF102C"/>
    <w:rsid w:val="00E119FB"/>
    <w:rsid w:val="00E13192"/>
    <w:rsid w:val="00E210D3"/>
    <w:rsid w:val="00E21AAA"/>
    <w:rsid w:val="00E306DD"/>
    <w:rsid w:val="00E31792"/>
    <w:rsid w:val="00E3390F"/>
    <w:rsid w:val="00E40E0D"/>
    <w:rsid w:val="00E4395C"/>
    <w:rsid w:val="00E500EB"/>
    <w:rsid w:val="00E50328"/>
    <w:rsid w:val="00E5124D"/>
    <w:rsid w:val="00E560A5"/>
    <w:rsid w:val="00E61D6B"/>
    <w:rsid w:val="00E723AE"/>
    <w:rsid w:val="00E760EC"/>
    <w:rsid w:val="00E83486"/>
    <w:rsid w:val="00E86C4C"/>
    <w:rsid w:val="00EB552E"/>
    <w:rsid w:val="00EC03A1"/>
    <w:rsid w:val="00EC291A"/>
    <w:rsid w:val="00EC442F"/>
    <w:rsid w:val="00ED05AD"/>
    <w:rsid w:val="00ED392C"/>
    <w:rsid w:val="00EE26C8"/>
    <w:rsid w:val="00EE6E2B"/>
    <w:rsid w:val="00EF303E"/>
    <w:rsid w:val="00EF38DC"/>
    <w:rsid w:val="00EF501E"/>
    <w:rsid w:val="00EF7194"/>
    <w:rsid w:val="00F0049D"/>
    <w:rsid w:val="00F03683"/>
    <w:rsid w:val="00F06FB8"/>
    <w:rsid w:val="00F10C5D"/>
    <w:rsid w:val="00F10D1B"/>
    <w:rsid w:val="00F24619"/>
    <w:rsid w:val="00F303E4"/>
    <w:rsid w:val="00F33AE9"/>
    <w:rsid w:val="00F346B7"/>
    <w:rsid w:val="00F428D4"/>
    <w:rsid w:val="00F466B1"/>
    <w:rsid w:val="00F50177"/>
    <w:rsid w:val="00F52C32"/>
    <w:rsid w:val="00F61706"/>
    <w:rsid w:val="00F63829"/>
    <w:rsid w:val="00F81FC0"/>
    <w:rsid w:val="00F8321A"/>
    <w:rsid w:val="00F85F73"/>
    <w:rsid w:val="00F91AFC"/>
    <w:rsid w:val="00F9312F"/>
    <w:rsid w:val="00F96E9F"/>
    <w:rsid w:val="00F97B25"/>
    <w:rsid w:val="00FA26FB"/>
    <w:rsid w:val="00FA3389"/>
    <w:rsid w:val="00FB224D"/>
    <w:rsid w:val="00FC1817"/>
    <w:rsid w:val="00FC57A9"/>
    <w:rsid w:val="00FC5A07"/>
    <w:rsid w:val="00FC687D"/>
    <w:rsid w:val="00FD1839"/>
    <w:rsid w:val="00FD3D86"/>
    <w:rsid w:val="00FD5068"/>
    <w:rsid w:val="00FD5B20"/>
    <w:rsid w:val="00FE20C7"/>
    <w:rsid w:val="00FE28D4"/>
    <w:rsid w:val="00FE322B"/>
    <w:rsid w:val="00FE3BA3"/>
    <w:rsid w:val="00FE6FEA"/>
    <w:rsid w:val="00FE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ADB paragraph numbering,bulleted Jens"/>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aliases w:val="ADB paragraph numbering Char,bulleted Jens Char"/>
    <w:link w:val="ListParagraph"/>
    <w:uiPriority w:val="34"/>
    <w:rsid w:val="00C61F61"/>
    <w:rPr>
      <w:rFonts w:asciiTheme="minorHAnsi" w:hAnsiTheme="minorHAnsi"/>
      <w:b/>
      <w:sz w:val="22"/>
      <w:lang w:val="en-GB"/>
    </w:rPr>
  </w:style>
  <w:style w:type="table" w:styleId="TableGrid">
    <w:name w:val="Table Grid"/>
    <w:basedOn w:val="TableNormal"/>
    <w:uiPriority w:val="39"/>
    <w:rsid w:val="00C61F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DCE9-F19C-4C0B-BDFF-1EA36183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Thida Oo</cp:lastModifiedBy>
  <cp:revision>2</cp:revision>
  <cp:lastPrinted>2014-04-28T09:51:00Z</cp:lastPrinted>
  <dcterms:created xsi:type="dcterms:W3CDTF">2017-01-18T09:23:00Z</dcterms:created>
  <dcterms:modified xsi:type="dcterms:W3CDTF">2017-01-18T09:23:00Z</dcterms:modified>
</cp:coreProperties>
</file>