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0D80" w:rsidRDefault="00D00D80" w:rsidP="009D631A">
      <w:pPr>
        <w:jc w:val="center"/>
        <w:rPr>
          <w:b/>
          <w:sz w:val="22"/>
          <w:szCs w:val="22"/>
          <w:lang w:val="en-GB"/>
        </w:rPr>
      </w:pPr>
    </w:p>
    <w:p w:rsidR="009D631A" w:rsidRPr="00D00D80" w:rsidRDefault="009D631A" w:rsidP="009D631A">
      <w:pPr>
        <w:jc w:val="center"/>
        <w:rPr>
          <w:b/>
          <w:sz w:val="22"/>
          <w:szCs w:val="22"/>
          <w:lang w:val="en-GB"/>
        </w:rPr>
      </w:pPr>
      <w:r w:rsidRPr="00D00D80">
        <w:rPr>
          <w:b/>
          <w:sz w:val="22"/>
          <w:szCs w:val="22"/>
          <w:lang w:val="en-GB"/>
        </w:rPr>
        <w:t>UNICEF-</w:t>
      </w:r>
      <w:r w:rsidR="00EE3405" w:rsidRPr="00D00D80">
        <w:rPr>
          <w:b/>
          <w:sz w:val="22"/>
          <w:szCs w:val="22"/>
          <w:lang w:val="en-GB"/>
        </w:rPr>
        <w:t>Turkey</w:t>
      </w:r>
    </w:p>
    <w:p w:rsidR="00401F49" w:rsidRPr="00D00D80" w:rsidRDefault="00EE3405" w:rsidP="00401F49">
      <w:pPr>
        <w:jc w:val="center"/>
        <w:rPr>
          <w:b/>
          <w:sz w:val="22"/>
          <w:szCs w:val="22"/>
          <w:lang w:val="en-GB"/>
        </w:rPr>
      </w:pPr>
      <w:r w:rsidRPr="00D00D80">
        <w:rPr>
          <w:b/>
          <w:sz w:val="22"/>
          <w:szCs w:val="22"/>
          <w:lang w:val="en-GB"/>
        </w:rPr>
        <w:t>TERMS of REFERENCE (ToR)</w:t>
      </w:r>
    </w:p>
    <w:p w:rsidR="00F251DA" w:rsidRPr="00D00D80" w:rsidRDefault="004C0C08" w:rsidP="00F251DA">
      <w:pPr>
        <w:jc w:val="center"/>
        <w:rPr>
          <w:b/>
          <w:sz w:val="22"/>
          <w:szCs w:val="22"/>
          <w:lang w:val="en-GB"/>
        </w:rPr>
      </w:pPr>
      <w:r w:rsidRPr="00D00D80">
        <w:rPr>
          <w:b/>
          <w:sz w:val="22"/>
          <w:szCs w:val="22"/>
          <w:lang w:val="en-GB"/>
        </w:rPr>
        <w:t xml:space="preserve">SHORT TERM </w:t>
      </w:r>
      <w:r w:rsidR="00DD1785" w:rsidRPr="00D00D80">
        <w:rPr>
          <w:b/>
          <w:sz w:val="22"/>
          <w:szCs w:val="22"/>
          <w:lang w:val="en-GB"/>
        </w:rPr>
        <w:t>INDIVIDUAL INTERNATIONAL</w:t>
      </w:r>
      <w:r w:rsidRPr="00D00D80">
        <w:rPr>
          <w:b/>
          <w:sz w:val="22"/>
          <w:szCs w:val="22"/>
          <w:lang w:val="en-GB"/>
        </w:rPr>
        <w:t xml:space="preserve"> CONSULTANCY </w:t>
      </w:r>
    </w:p>
    <w:p w:rsidR="009D631A" w:rsidRPr="00D00D80" w:rsidRDefault="009D631A" w:rsidP="009D631A">
      <w:pPr>
        <w:rPr>
          <w:b/>
          <w:sz w:val="22"/>
          <w:szCs w:val="22"/>
          <w:lang w:val="en-GB"/>
        </w:rPr>
      </w:pPr>
    </w:p>
    <w:tbl>
      <w:tblPr>
        <w:tblStyle w:val="TableGrid"/>
        <w:tblW w:w="5000" w:type="pct"/>
        <w:tblLook w:val="04A0" w:firstRow="1" w:lastRow="0" w:firstColumn="1" w:lastColumn="0" w:noHBand="0" w:noVBand="1"/>
      </w:tblPr>
      <w:tblGrid>
        <w:gridCol w:w="5633"/>
        <w:gridCol w:w="3429"/>
      </w:tblGrid>
      <w:tr w:rsidR="00720055" w:rsidRPr="00D00D80" w:rsidTr="007A7D91">
        <w:trPr>
          <w:trHeight w:val="422"/>
        </w:trPr>
        <w:tc>
          <w:tcPr>
            <w:tcW w:w="3108" w:type="pct"/>
            <w:vAlign w:val="center"/>
          </w:tcPr>
          <w:p w:rsidR="003F1568" w:rsidRPr="00D00D80" w:rsidRDefault="0053559D" w:rsidP="005B2DF9">
            <w:pPr>
              <w:jc w:val="center"/>
              <w:rPr>
                <w:b/>
                <w:sz w:val="22"/>
                <w:szCs w:val="22"/>
                <w:lang w:val="en-GB"/>
              </w:rPr>
            </w:pPr>
            <w:r w:rsidRPr="00D00D80">
              <w:rPr>
                <w:b/>
                <w:sz w:val="22"/>
                <w:szCs w:val="22"/>
                <w:lang w:val="en-GB"/>
              </w:rPr>
              <w:t>‘Promoting Gender Equality in Education</w:t>
            </w:r>
            <w:r w:rsidR="00FC5E74" w:rsidRPr="00D00D80">
              <w:rPr>
                <w:b/>
                <w:sz w:val="22"/>
                <w:szCs w:val="22"/>
                <w:lang w:val="en-GB"/>
              </w:rPr>
              <w:t>’</w:t>
            </w:r>
          </w:p>
        </w:tc>
        <w:tc>
          <w:tcPr>
            <w:tcW w:w="1892" w:type="pct"/>
            <w:shd w:val="clear" w:color="auto" w:fill="auto"/>
            <w:vAlign w:val="center"/>
          </w:tcPr>
          <w:p w:rsidR="009D631A" w:rsidRPr="00D00D80" w:rsidRDefault="002B6CB4" w:rsidP="005B2DF9">
            <w:pPr>
              <w:jc w:val="center"/>
              <w:rPr>
                <w:b/>
                <w:sz w:val="22"/>
                <w:szCs w:val="22"/>
                <w:lang w:val="en-GB"/>
              </w:rPr>
            </w:pPr>
            <w:r w:rsidRPr="00D00D80">
              <w:rPr>
                <w:b/>
                <w:sz w:val="22"/>
                <w:szCs w:val="22"/>
                <w:lang w:val="en-GB"/>
              </w:rPr>
              <w:t xml:space="preserve">(Ref: </w:t>
            </w:r>
            <w:r w:rsidR="002A44CE" w:rsidRPr="00D00D80">
              <w:rPr>
                <w:b/>
                <w:sz w:val="22"/>
                <w:szCs w:val="22"/>
                <w:lang w:val="en-GB"/>
              </w:rPr>
              <w:t>EDU</w:t>
            </w:r>
            <w:r w:rsidRPr="00D00D80">
              <w:rPr>
                <w:b/>
                <w:sz w:val="22"/>
                <w:szCs w:val="22"/>
                <w:lang w:val="en-GB"/>
              </w:rPr>
              <w:t>/TURA/201</w:t>
            </w:r>
            <w:r w:rsidR="002A44CE" w:rsidRPr="00D00D80">
              <w:rPr>
                <w:b/>
                <w:sz w:val="22"/>
                <w:szCs w:val="22"/>
                <w:lang w:val="en-GB"/>
              </w:rPr>
              <w:t>7</w:t>
            </w:r>
            <w:r w:rsidRPr="00D00D80">
              <w:rPr>
                <w:b/>
                <w:sz w:val="22"/>
                <w:szCs w:val="22"/>
                <w:lang w:val="en-GB"/>
              </w:rPr>
              <w:t>-</w:t>
            </w:r>
            <w:r w:rsidR="0026511D" w:rsidRPr="00D00D80">
              <w:rPr>
                <w:b/>
                <w:sz w:val="22"/>
                <w:szCs w:val="22"/>
                <w:lang w:val="en-GB"/>
              </w:rPr>
              <w:t>D</w:t>
            </w:r>
            <w:r w:rsidRPr="00D00D80">
              <w:rPr>
                <w:b/>
                <w:sz w:val="22"/>
                <w:szCs w:val="22"/>
                <w:lang w:val="en-GB"/>
              </w:rPr>
              <w:t>)</w:t>
            </w:r>
          </w:p>
        </w:tc>
      </w:tr>
      <w:tr w:rsidR="00794C6B" w:rsidRPr="00D00D80" w:rsidTr="000404FC">
        <w:tc>
          <w:tcPr>
            <w:tcW w:w="5000" w:type="pct"/>
            <w:gridSpan w:val="2"/>
            <w:shd w:val="clear" w:color="auto" w:fill="D9D9D9" w:themeFill="background1" w:themeFillShade="D9"/>
            <w:vAlign w:val="center"/>
          </w:tcPr>
          <w:p w:rsidR="00794C6B" w:rsidRPr="00D00D80" w:rsidRDefault="00794C6B" w:rsidP="005B2DF9">
            <w:pPr>
              <w:jc w:val="both"/>
              <w:rPr>
                <w:b/>
                <w:sz w:val="22"/>
                <w:szCs w:val="22"/>
                <w:u w:val="single"/>
                <w:lang w:val="en-GB"/>
              </w:rPr>
            </w:pPr>
            <w:r w:rsidRPr="00D00D80">
              <w:rPr>
                <w:b/>
                <w:sz w:val="22"/>
                <w:szCs w:val="22"/>
                <w:u w:val="single"/>
                <w:lang w:val="en-GB"/>
              </w:rPr>
              <w:t>Links with the Country Programme Priorities:</w:t>
            </w:r>
          </w:p>
          <w:p w:rsidR="00F624B8" w:rsidRPr="00D00D80" w:rsidRDefault="00F624B8" w:rsidP="005B2DF9">
            <w:pPr>
              <w:jc w:val="both"/>
              <w:rPr>
                <w:b/>
                <w:bCs/>
                <w:sz w:val="22"/>
                <w:szCs w:val="22"/>
                <w:u w:val="single"/>
                <w:lang w:val="en-GB"/>
              </w:rPr>
            </w:pPr>
          </w:p>
          <w:p w:rsidR="00F624B8" w:rsidRPr="00D00D80" w:rsidRDefault="00F624B8" w:rsidP="005B2DF9">
            <w:pPr>
              <w:jc w:val="both"/>
              <w:rPr>
                <w:sz w:val="22"/>
                <w:szCs w:val="22"/>
                <w:lang w:val="en-GB"/>
              </w:rPr>
            </w:pPr>
            <w:r w:rsidRPr="00D00D80">
              <w:rPr>
                <w:b/>
                <w:sz w:val="22"/>
                <w:szCs w:val="22"/>
                <w:lang w:val="en-GB"/>
              </w:rPr>
              <w:t>UNDCS- Pillar 1</w:t>
            </w:r>
            <w:r w:rsidRPr="00D00D80">
              <w:rPr>
                <w:sz w:val="22"/>
                <w:szCs w:val="22"/>
                <w:lang w:val="en-GB"/>
              </w:rPr>
              <w:t>: Sustainable, Inclusive Growth and Development.</w:t>
            </w:r>
          </w:p>
          <w:p w:rsidR="00F624B8" w:rsidRPr="00D00D80" w:rsidRDefault="00F624B8" w:rsidP="005B2DF9">
            <w:pPr>
              <w:jc w:val="both"/>
              <w:rPr>
                <w:sz w:val="22"/>
                <w:szCs w:val="22"/>
                <w:lang w:val="en-GB"/>
              </w:rPr>
            </w:pPr>
            <w:r w:rsidRPr="00D00D80">
              <w:rPr>
                <w:b/>
                <w:sz w:val="22"/>
                <w:szCs w:val="22"/>
                <w:lang w:val="en-GB"/>
              </w:rPr>
              <w:t>Outcome 1.2.:</w:t>
            </w:r>
            <w:r w:rsidRPr="00D00D80">
              <w:rPr>
                <w:sz w:val="22"/>
                <w:szCs w:val="22"/>
                <w:lang w:val="en-GB"/>
              </w:rPr>
              <w:t xml:space="preserve"> By 2020, all underserved population groups have more equitable and improved access to integrated, sustainable and gender sensitive quality services (e.g. health, education, decent employment, and social protection systems). </w:t>
            </w:r>
          </w:p>
          <w:p w:rsidR="00AB58DC" w:rsidRPr="00D00D80" w:rsidRDefault="00AB58DC" w:rsidP="005B2DF9">
            <w:pPr>
              <w:jc w:val="both"/>
              <w:rPr>
                <w:b/>
                <w:sz w:val="22"/>
                <w:szCs w:val="22"/>
                <w:lang w:val="en-GB"/>
              </w:rPr>
            </w:pPr>
          </w:p>
          <w:p w:rsidR="00356E79" w:rsidRPr="00D00D80" w:rsidRDefault="00F624B8" w:rsidP="005B2DF9">
            <w:pPr>
              <w:spacing w:after="120"/>
              <w:jc w:val="both"/>
              <w:rPr>
                <w:b/>
                <w:sz w:val="22"/>
                <w:szCs w:val="22"/>
                <w:lang w:val="en-GB"/>
              </w:rPr>
            </w:pPr>
            <w:r w:rsidRPr="00D00D80">
              <w:rPr>
                <w:b/>
                <w:sz w:val="22"/>
                <w:szCs w:val="22"/>
                <w:lang w:val="en-GB"/>
              </w:rPr>
              <w:t>Country Programme</w:t>
            </w:r>
            <w:r w:rsidR="006F50A4" w:rsidRPr="00D00D80">
              <w:rPr>
                <w:b/>
                <w:sz w:val="22"/>
                <w:szCs w:val="22"/>
                <w:lang w:val="en-GB"/>
              </w:rPr>
              <w:t>,</w:t>
            </w:r>
            <w:r w:rsidRPr="00D00D80">
              <w:rPr>
                <w:b/>
                <w:sz w:val="22"/>
                <w:szCs w:val="22"/>
                <w:lang w:val="en-GB"/>
              </w:rPr>
              <w:t xml:space="preserve"> Outcome</w:t>
            </w:r>
            <w:r w:rsidR="00356E79" w:rsidRPr="00D00D80">
              <w:rPr>
                <w:b/>
                <w:sz w:val="22"/>
                <w:szCs w:val="22"/>
                <w:lang w:val="en-GB"/>
              </w:rPr>
              <w:t xml:space="preserve"> 3:  Gender equality among children enhanced and sustained into adolescence</w:t>
            </w:r>
          </w:p>
          <w:p w:rsidR="00356E79" w:rsidRPr="00D00D80" w:rsidRDefault="00356E79" w:rsidP="005B2DF9">
            <w:pPr>
              <w:spacing w:after="120"/>
              <w:jc w:val="both"/>
              <w:rPr>
                <w:b/>
                <w:sz w:val="22"/>
                <w:szCs w:val="22"/>
                <w:lang w:val="en-GB"/>
              </w:rPr>
            </w:pPr>
            <w:r w:rsidRPr="00D00D80">
              <w:rPr>
                <w:sz w:val="22"/>
                <w:szCs w:val="22"/>
                <w:lang w:val="en-GB"/>
              </w:rPr>
              <w:t xml:space="preserve">By 2020, the education and CP systems, NGOs and communities increasingly provide vulnerable girls and boys with </w:t>
            </w:r>
            <w:r w:rsidR="00EC19EC" w:rsidRPr="00D00D80">
              <w:rPr>
                <w:sz w:val="22"/>
                <w:szCs w:val="22"/>
                <w:lang w:val="en-GB"/>
              </w:rPr>
              <w:t xml:space="preserve">gender-sensitive opportunities </w:t>
            </w:r>
            <w:r w:rsidRPr="00D00D80">
              <w:rPr>
                <w:sz w:val="22"/>
                <w:szCs w:val="22"/>
                <w:lang w:val="en-GB"/>
              </w:rPr>
              <w:t xml:space="preserve">to realize their rights </w:t>
            </w:r>
          </w:p>
          <w:p w:rsidR="00356E79" w:rsidRPr="00D00D80" w:rsidRDefault="00F624B8" w:rsidP="005B2DF9">
            <w:pPr>
              <w:spacing w:after="120"/>
              <w:jc w:val="both"/>
              <w:rPr>
                <w:sz w:val="22"/>
                <w:szCs w:val="22"/>
                <w:lang w:val="en-GB"/>
              </w:rPr>
            </w:pPr>
            <w:r w:rsidRPr="00D00D80">
              <w:rPr>
                <w:b/>
                <w:sz w:val="22"/>
                <w:szCs w:val="22"/>
                <w:lang w:val="en-GB"/>
              </w:rPr>
              <w:t xml:space="preserve">Output: </w:t>
            </w:r>
            <w:r w:rsidR="00356E79" w:rsidRPr="00D00D80">
              <w:rPr>
                <w:b/>
                <w:sz w:val="22"/>
                <w:szCs w:val="22"/>
                <w:lang w:val="en-GB"/>
              </w:rPr>
              <w:t>3.A</w:t>
            </w:r>
            <w:r w:rsidR="00356E79" w:rsidRPr="00D00D80">
              <w:rPr>
                <w:sz w:val="22"/>
                <w:szCs w:val="22"/>
                <w:lang w:val="en-GB"/>
              </w:rPr>
              <w:t>. Education opportunities for adolescent girls and boys</w:t>
            </w:r>
            <w:r w:rsidR="000565FB" w:rsidRPr="00D00D80">
              <w:rPr>
                <w:sz w:val="22"/>
                <w:szCs w:val="22"/>
                <w:lang w:val="en-GB"/>
              </w:rPr>
              <w:t>.</w:t>
            </w:r>
            <w:r w:rsidR="00356E79" w:rsidRPr="00D00D80">
              <w:rPr>
                <w:sz w:val="22"/>
                <w:szCs w:val="22"/>
                <w:lang w:val="en-GB"/>
              </w:rPr>
              <w:t xml:space="preserve"> By 2020, the education system, NGOs and families have increased capacity to provide and facilitate gender-sensitive and inclusive formal, non-formal</w:t>
            </w:r>
            <w:r w:rsidR="006F50A4" w:rsidRPr="00D00D80">
              <w:rPr>
                <w:sz w:val="22"/>
                <w:szCs w:val="22"/>
                <w:lang w:val="en-GB"/>
              </w:rPr>
              <w:t xml:space="preserve"> and </w:t>
            </w:r>
            <w:r w:rsidR="00356E79" w:rsidRPr="00D00D80">
              <w:rPr>
                <w:sz w:val="22"/>
                <w:szCs w:val="22"/>
                <w:lang w:val="en-GB"/>
              </w:rPr>
              <w:t>informal education opportunities for adolescent boys and girls</w:t>
            </w:r>
            <w:r w:rsidR="006F50A4" w:rsidRPr="00D00D80">
              <w:rPr>
                <w:sz w:val="22"/>
                <w:szCs w:val="22"/>
                <w:lang w:val="en-GB"/>
              </w:rPr>
              <w:t>.</w:t>
            </w:r>
            <w:r w:rsidR="00330745" w:rsidRPr="00D00D80">
              <w:rPr>
                <w:sz w:val="22"/>
                <w:szCs w:val="22"/>
                <w:lang w:val="en-GB"/>
              </w:rPr>
              <w:t xml:space="preserve"> </w:t>
            </w:r>
          </w:p>
          <w:p w:rsidR="00330745" w:rsidRPr="00D00D80" w:rsidRDefault="006F50A4" w:rsidP="005B2DF9">
            <w:pPr>
              <w:spacing w:after="120"/>
              <w:jc w:val="both"/>
              <w:rPr>
                <w:sz w:val="22"/>
                <w:szCs w:val="22"/>
                <w:lang w:val="en-GB"/>
              </w:rPr>
            </w:pPr>
            <w:r w:rsidRPr="00D00D80">
              <w:rPr>
                <w:sz w:val="22"/>
                <w:szCs w:val="22"/>
                <w:lang w:val="en-GB"/>
              </w:rPr>
              <w:t xml:space="preserve">Activity </w:t>
            </w:r>
            <w:r w:rsidR="00330745" w:rsidRPr="00D00D80">
              <w:rPr>
                <w:sz w:val="22"/>
                <w:szCs w:val="22"/>
                <w:lang w:val="en-GB"/>
              </w:rPr>
              <w:t>4.3</w:t>
            </w:r>
            <w:r w:rsidRPr="00D00D80">
              <w:rPr>
                <w:sz w:val="22"/>
                <w:szCs w:val="22"/>
                <w:lang w:val="en-GB"/>
              </w:rPr>
              <w:t>:</w:t>
            </w:r>
            <w:r w:rsidR="006159E3" w:rsidRPr="00D00D80">
              <w:rPr>
                <w:sz w:val="22"/>
                <w:szCs w:val="22"/>
                <w:lang w:val="en-GB"/>
              </w:rPr>
              <w:t xml:space="preserve"> Support the revision, implementation and dissemination </w:t>
            </w:r>
            <w:r w:rsidR="00DC327E" w:rsidRPr="00D00D80">
              <w:rPr>
                <w:sz w:val="22"/>
                <w:szCs w:val="22"/>
                <w:lang w:val="en-GB"/>
              </w:rPr>
              <w:t xml:space="preserve">of gender mainstreaming sensitive school </w:t>
            </w:r>
            <w:r w:rsidR="000B07B0" w:rsidRPr="00D00D80">
              <w:rPr>
                <w:sz w:val="22"/>
                <w:szCs w:val="22"/>
                <w:lang w:val="en-GB"/>
              </w:rPr>
              <w:t>standards</w:t>
            </w:r>
            <w:r w:rsidR="00DC327E" w:rsidRPr="00D00D80">
              <w:rPr>
                <w:sz w:val="22"/>
                <w:szCs w:val="22"/>
                <w:lang w:val="en-GB"/>
              </w:rPr>
              <w:t>.</w:t>
            </w:r>
            <w:r w:rsidR="006159E3" w:rsidRPr="00D00D80">
              <w:rPr>
                <w:sz w:val="22"/>
                <w:szCs w:val="22"/>
                <w:lang w:val="en-GB"/>
              </w:rPr>
              <w:t xml:space="preserve"> </w:t>
            </w:r>
          </w:p>
          <w:p w:rsidR="00F624B8" w:rsidRPr="00D00D80" w:rsidRDefault="00F624B8" w:rsidP="005B2DF9">
            <w:pPr>
              <w:rPr>
                <w:b/>
                <w:sz w:val="22"/>
                <w:szCs w:val="22"/>
                <w:lang w:val="en-GB"/>
              </w:rPr>
            </w:pPr>
            <w:r w:rsidRPr="00D00D80">
              <w:rPr>
                <w:b/>
                <w:caps/>
                <w:sz w:val="22"/>
                <w:szCs w:val="22"/>
                <w:lang w:val="en-GB"/>
              </w:rPr>
              <w:t>ACTIVITY:</w:t>
            </w:r>
            <w:r w:rsidR="00FC5E74" w:rsidRPr="00D00D80">
              <w:rPr>
                <w:b/>
                <w:sz w:val="22"/>
                <w:szCs w:val="22"/>
                <w:lang w:val="en-GB"/>
              </w:rPr>
              <w:t xml:space="preserve"> ‘Promoting Gender Equality in Education’</w:t>
            </w:r>
          </w:p>
        </w:tc>
      </w:tr>
    </w:tbl>
    <w:p w:rsidR="009D631A" w:rsidRPr="00D00D80" w:rsidRDefault="009D631A" w:rsidP="009D631A">
      <w:pPr>
        <w:rPr>
          <w:b/>
          <w:sz w:val="22"/>
          <w:szCs w:val="22"/>
          <w:lang w:val="en-GB"/>
        </w:rPr>
      </w:pPr>
    </w:p>
    <w:p w:rsidR="009D631A" w:rsidRPr="00D00D80" w:rsidRDefault="005B2DF9" w:rsidP="005B2DF9">
      <w:pPr>
        <w:pStyle w:val="ListParagraph"/>
        <w:pBdr>
          <w:bottom w:val="single" w:sz="6" w:space="1" w:color="auto"/>
        </w:pBdr>
        <w:ind w:left="0"/>
        <w:rPr>
          <w:b/>
          <w:sz w:val="22"/>
          <w:szCs w:val="22"/>
          <w:lang w:val="en-GB"/>
        </w:rPr>
      </w:pPr>
      <w:r w:rsidRPr="00D00D80">
        <w:rPr>
          <w:b/>
          <w:sz w:val="22"/>
          <w:szCs w:val="22"/>
          <w:lang w:val="en-GB"/>
        </w:rPr>
        <w:t xml:space="preserve">I. </w:t>
      </w:r>
      <w:r w:rsidR="004C0C08" w:rsidRPr="00D00D80">
        <w:rPr>
          <w:b/>
          <w:sz w:val="22"/>
          <w:szCs w:val="22"/>
          <w:lang w:val="en-GB"/>
        </w:rPr>
        <w:t xml:space="preserve">BACKGROUND </w:t>
      </w:r>
    </w:p>
    <w:p w:rsidR="004400DA" w:rsidRPr="00D00D80" w:rsidRDefault="004400DA" w:rsidP="004400DA">
      <w:pPr>
        <w:rPr>
          <w:b/>
          <w:sz w:val="22"/>
          <w:szCs w:val="22"/>
          <w:lang w:val="en-GB"/>
        </w:rPr>
      </w:pPr>
    </w:p>
    <w:p w:rsidR="009607BB" w:rsidRPr="00D00D80" w:rsidRDefault="009607BB" w:rsidP="005B2DF9">
      <w:pPr>
        <w:spacing w:line="276" w:lineRule="auto"/>
        <w:jc w:val="both"/>
        <w:rPr>
          <w:sz w:val="22"/>
          <w:szCs w:val="22"/>
          <w:lang w:val="en-GB"/>
        </w:rPr>
      </w:pPr>
      <w:r w:rsidRPr="00D00D80">
        <w:rPr>
          <w:sz w:val="22"/>
          <w:szCs w:val="22"/>
          <w:lang w:val="en-GB"/>
        </w:rPr>
        <w:t xml:space="preserve">UNICEF has been supporting the Ministry of National Education (MoNE) in strengthening the Education System in Turkey for years, including the gender issues in education, such as Girls’ Education Campaign, “Haydi Kizlar Okula!” in the past. Within the framework of the UNICEF Turkey 2016-2020 Country Programme, gender equality in education is one of the strategic intervention areas, and UNICEF is cooperating with MoNE, through the Secondary Education Directorate General (SEDG) to strengthen the education system with comprehensive gender sensitive school standards for upper secondary schools in the country. </w:t>
      </w:r>
    </w:p>
    <w:p w:rsidR="009607BB" w:rsidRPr="00D00D80" w:rsidRDefault="009607BB" w:rsidP="005B2DF9">
      <w:pPr>
        <w:spacing w:line="276" w:lineRule="auto"/>
        <w:jc w:val="both"/>
        <w:rPr>
          <w:sz w:val="22"/>
          <w:szCs w:val="22"/>
          <w:lang w:val="en-GB"/>
        </w:rPr>
      </w:pPr>
    </w:p>
    <w:p w:rsidR="009607BB" w:rsidRPr="00D00D80" w:rsidRDefault="009607BB" w:rsidP="005B2DF9">
      <w:pPr>
        <w:spacing w:line="276" w:lineRule="auto"/>
        <w:jc w:val="both"/>
        <w:rPr>
          <w:sz w:val="22"/>
          <w:szCs w:val="22"/>
          <w:lang w:val="en-GB"/>
        </w:rPr>
      </w:pPr>
      <w:r w:rsidRPr="00D00D80">
        <w:rPr>
          <w:sz w:val="22"/>
          <w:szCs w:val="22"/>
          <w:lang w:val="en-GB"/>
        </w:rPr>
        <w:t xml:space="preserve">MoNE, recently, implemented the “Promoting Gender Equality in Education (PGEE)” Project” within the scope of the Instrument for Pre-Accession Assistance (IPA), which aimed at promoting gender equality for girls and boys in schools and contributing to promote an equality and gender sensitive approach throughout the education system.  The PGEE Project targeted the following results: (1) The development of A Gender Equality Assurance Tool for Schools (GEATS), which is a guideline and an assessment tool for teaching and non-teaching staff at schools, (2) To strengthen MoNE’s capacity to promote an equality and gender sensitive approach in the overall education system; (3) To raise awareness in students, parents, teaching and non-teaching staff on gender equality in education through a media campaign and local actions. The project activities were carried out in 10 pilot provinces, including Batman, Erzurum, İzmir, Karaman, Malatya, Mardin, Samsun, Sivas, Şanlıurfa and Trabzon (please see the link for further information </w:t>
      </w:r>
      <w:hyperlink r:id="rId8" w:history="1">
        <w:r w:rsidRPr="00D00D80">
          <w:rPr>
            <w:rStyle w:val="Hyperlink"/>
            <w:sz w:val="22"/>
            <w:szCs w:val="22"/>
            <w:lang w:val="en-GB"/>
          </w:rPr>
          <w:t>http://etcep.meb.gov.tr/about-us-detayi-1440845992122</w:t>
        </w:r>
      </w:hyperlink>
      <w:r w:rsidRPr="00D00D80">
        <w:rPr>
          <w:sz w:val="22"/>
          <w:szCs w:val="22"/>
          <w:lang w:val="en-GB"/>
        </w:rPr>
        <w:t xml:space="preserve">). The PGEE Project, coordinated by the General Directorate of Secondary Education (SEDG), ended on 19.09.2016. </w:t>
      </w:r>
    </w:p>
    <w:p w:rsidR="009607BB" w:rsidRPr="00D00D80" w:rsidRDefault="009607BB" w:rsidP="005B2DF9">
      <w:pPr>
        <w:spacing w:line="276" w:lineRule="auto"/>
        <w:jc w:val="both"/>
        <w:rPr>
          <w:sz w:val="22"/>
          <w:szCs w:val="22"/>
          <w:lang w:val="en-GB"/>
        </w:rPr>
      </w:pPr>
    </w:p>
    <w:p w:rsidR="00451A3E" w:rsidRDefault="005B2DF9" w:rsidP="005B2DF9">
      <w:pPr>
        <w:jc w:val="both"/>
        <w:rPr>
          <w:sz w:val="22"/>
          <w:szCs w:val="22"/>
          <w:lang w:val="en-GB"/>
        </w:rPr>
      </w:pPr>
      <w:r w:rsidRPr="00D00D80">
        <w:rPr>
          <w:b/>
          <w:sz w:val="22"/>
          <w:szCs w:val="22"/>
          <w:lang w:val="en-GB"/>
        </w:rPr>
        <w:t xml:space="preserve">II. </w:t>
      </w:r>
      <w:r w:rsidR="00451A3E" w:rsidRPr="00D00D80">
        <w:rPr>
          <w:b/>
          <w:sz w:val="22"/>
          <w:szCs w:val="22"/>
          <w:lang w:val="en-GB"/>
        </w:rPr>
        <w:t>PURPOSE of the ASSIGNMENT</w:t>
      </w:r>
      <w:r w:rsidR="00451A3E" w:rsidRPr="00D00D80">
        <w:rPr>
          <w:sz w:val="22"/>
          <w:szCs w:val="22"/>
          <w:lang w:val="en-GB"/>
        </w:rPr>
        <w:t xml:space="preserve"> </w:t>
      </w:r>
    </w:p>
    <w:p w:rsidR="00D00D80" w:rsidRPr="00D00D80" w:rsidRDefault="00D00D80" w:rsidP="005B2DF9">
      <w:pPr>
        <w:jc w:val="both"/>
        <w:rPr>
          <w:sz w:val="22"/>
          <w:szCs w:val="22"/>
          <w:lang w:val="en-GB"/>
        </w:rPr>
      </w:pPr>
    </w:p>
    <w:p w:rsidR="00451A3E" w:rsidRPr="00D00D80" w:rsidRDefault="00451A3E" w:rsidP="005B2DF9">
      <w:pPr>
        <w:jc w:val="both"/>
        <w:rPr>
          <w:color w:val="000000"/>
          <w:sz w:val="22"/>
          <w:szCs w:val="22"/>
          <w:lang w:val="en-GB"/>
        </w:rPr>
      </w:pPr>
      <w:r w:rsidRPr="00D00D80">
        <w:rPr>
          <w:sz w:val="22"/>
          <w:szCs w:val="22"/>
          <w:lang w:val="en-GB"/>
        </w:rPr>
        <w:t>Developed as one of the GEATS tools within the scope of the PGEE Project, the “Guidelines on Gender Equality Sensitive School Standards”, require further strengthening and/or revision to be based on comparative review with similar regional and global resources and practices. UNICEF will be supporting MoNE in this review and revision process, which will also include (i) the implementation of the Guidelines in a total of 162 Upper Secondary Schools in 81 provinces (ii) development of an Activity Booklet to be used at schools as an annex to the Guidelines (iii) Training of Trainers p</w:t>
      </w:r>
      <w:r w:rsidRPr="00D00D80">
        <w:rPr>
          <w:color w:val="000000"/>
          <w:sz w:val="22"/>
          <w:szCs w:val="22"/>
          <w:lang w:val="en-GB"/>
        </w:rPr>
        <w:t xml:space="preserve">rogrammes for MoNE teachers (iv) monitoring the implementation of the Standards and Activities in schools. </w:t>
      </w:r>
    </w:p>
    <w:p w:rsidR="00451A3E" w:rsidRPr="00D00D80" w:rsidRDefault="00451A3E" w:rsidP="005B2DF9">
      <w:pPr>
        <w:jc w:val="both"/>
        <w:rPr>
          <w:color w:val="000000"/>
          <w:sz w:val="22"/>
          <w:szCs w:val="22"/>
          <w:lang w:val="en-GB"/>
        </w:rPr>
      </w:pPr>
    </w:p>
    <w:p w:rsidR="00451A3E" w:rsidRPr="00D00D80" w:rsidRDefault="00451A3E" w:rsidP="005B2DF9">
      <w:pPr>
        <w:jc w:val="both"/>
        <w:rPr>
          <w:sz w:val="22"/>
          <w:szCs w:val="22"/>
          <w:lang w:val="en-GB"/>
        </w:rPr>
      </w:pPr>
      <w:r w:rsidRPr="00D00D80">
        <w:rPr>
          <w:sz w:val="22"/>
          <w:szCs w:val="22"/>
          <w:lang w:val="en-GB"/>
        </w:rPr>
        <w:t xml:space="preserve">The improved standards will be implemented to ensure gender equality for girls and boys at upper secondary schools, to mainstream equal education opportunities and to have a gender equality approach in the education system. </w:t>
      </w:r>
    </w:p>
    <w:p w:rsidR="00451A3E" w:rsidRPr="00D00D80" w:rsidRDefault="00451A3E" w:rsidP="005B2DF9">
      <w:pPr>
        <w:jc w:val="both"/>
        <w:rPr>
          <w:sz w:val="22"/>
          <w:szCs w:val="22"/>
          <w:lang w:val="en-GB"/>
        </w:rPr>
      </w:pPr>
    </w:p>
    <w:p w:rsidR="00451A3E" w:rsidRPr="00D00D80" w:rsidRDefault="00451A3E" w:rsidP="005B2DF9">
      <w:pPr>
        <w:jc w:val="both"/>
        <w:rPr>
          <w:sz w:val="22"/>
          <w:szCs w:val="22"/>
          <w:lang w:val="en-GB"/>
        </w:rPr>
      </w:pPr>
      <w:r w:rsidRPr="00D00D80">
        <w:rPr>
          <w:sz w:val="22"/>
          <w:szCs w:val="22"/>
          <w:lang w:val="en-GB"/>
        </w:rPr>
        <w:t xml:space="preserve">So as to </w:t>
      </w:r>
      <w:r w:rsidRPr="00D00D80">
        <w:rPr>
          <w:color w:val="000000"/>
          <w:sz w:val="22"/>
          <w:szCs w:val="22"/>
          <w:lang w:val="en-GB"/>
        </w:rPr>
        <w:t xml:space="preserve">provide </w:t>
      </w:r>
      <w:r w:rsidR="006709F0" w:rsidRPr="00D00D80">
        <w:rPr>
          <w:color w:val="000000"/>
          <w:sz w:val="22"/>
          <w:szCs w:val="22"/>
          <w:lang w:val="en-GB"/>
        </w:rPr>
        <w:t xml:space="preserve">the </w:t>
      </w:r>
      <w:r w:rsidRPr="00D00D80">
        <w:rPr>
          <w:color w:val="000000"/>
          <w:sz w:val="22"/>
          <w:szCs w:val="22"/>
          <w:lang w:val="en-GB"/>
        </w:rPr>
        <w:t>aforesaid technical assistance to MoNE</w:t>
      </w:r>
      <w:r w:rsidRPr="00D00D80">
        <w:rPr>
          <w:sz w:val="22"/>
          <w:szCs w:val="22"/>
          <w:lang w:val="en-GB"/>
        </w:rPr>
        <w:t xml:space="preserve"> and contribute to the process, one international consultant and a team of national consultants with relevant knowledge and experience in local, regional and/or global contexts on gender equality in education are sought. Further details of the assignment are outlined in the following section under the title “Description of the Assignment and Expected Deliverables”.</w:t>
      </w:r>
    </w:p>
    <w:p w:rsidR="00451A3E" w:rsidRPr="00D00D80" w:rsidRDefault="00451A3E" w:rsidP="005B2DF9">
      <w:pPr>
        <w:jc w:val="both"/>
        <w:rPr>
          <w:sz w:val="22"/>
          <w:szCs w:val="22"/>
          <w:lang w:val="en-GB"/>
        </w:rPr>
      </w:pPr>
    </w:p>
    <w:p w:rsidR="004400DA" w:rsidRPr="00D00D80" w:rsidRDefault="005B2DF9" w:rsidP="005B2DF9">
      <w:pPr>
        <w:pStyle w:val="ListParagraph"/>
        <w:pBdr>
          <w:bottom w:val="single" w:sz="6" w:space="2" w:color="auto"/>
        </w:pBdr>
        <w:ind w:left="0"/>
        <w:rPr>
          <w:b/>
          <w:sz w:val="22"/>
          <w:szCs w:val="22"/>
          <w:lang w:val="en-GB"/>
        </w:rPr>
      </w:pPr>
      <w:r w:rsidRPr="00D00D80">
        <w:rPr>
          <w:b/>
          <w:sz w:val="22"/>
          <w:szCs w:val="22"/>
          <w:lang w:val="en-GB"/>
        </w:rPr>
        <w:t xml:space="preserve">III. </w:t>
      </w:r>
      <w:r w:rsidR="002015ED" w:rsidRPr="00D00D80">
        <w:rPr>
          <w:b/>
          <w:sz w:val="22"/>
          <w:szCs w:val="22"/>
          <w:lang w:val="en-GB"/>
        </w:rPr>
        <w:t>METHODOLOGY</w:t>
      </w:r>
    </w:p>
    <w:p w:rsidR="00F071A1" w:rsidRPr="00D00D80" w:rsidRDefault="00F071A1" w:rsidP="005B2DF9">
      <w:pPr>
        <w:jc w:val="both"/>
        <w:rPr>
          <w:sz w:val="22"/>
          <w:szCs w:val="22"/>
          <w:lang w:val="en-GB"/>
        </w:rPr>
      </w:pPr>
    </w:p>
    <w:p w:rsidR="009607BB" w:rsidRPr="00D00D80" w:rsidRDefault="009607BB" w:rsidP="005B2DF9">
      <w:pPr>
        <w:jc w:val="both"/>
        <w:rPr>
          <w:sz w:val="22"/>
          <w:szCs w:val="22"/>
          <w:lang w:val="en-GB"/>
        </w:rPr>
      </w:pPr>
      <w:r w:rsidRPr="00D00D80">
        <w:rPr>
          <w:sz w:val="22"/>
          <w:szCs w:val="22"/>
          <w:u w:val="single"/>
          <w:lang w:val="en-GB"/>
        </w:rPr>
        <w:t>A team of consultants -one international consultant and a team of national consultants</w:t>
      </w:r>
      <w:r w:rsidR="005B2DF9" w:rsidRPr="00D00D80">
        <w:rPr>
          <w:sz w:val="22"/>
          <w:szCs w:val="22"/>
          <w:u w:val="single"/>
          <w:lang w:val="en-GB"/>
        </w:rPr>
        <w:t xml:space="preserve"> (to be hired separately by UNICEF)</w:t>
      </w:r>
      <w:r w:rsidRPr="00D00D80">
        <w:rPr>
          <w:sz w:val="22"/>
          <w:szCs w:val="22"/>
          <w:u w:val="single"/>
          <w:lang w:val="en-GB"/>
        </w:rPr>
        <w:t>- will work collaboratively.</w:t>
      </w:r>
      <w:r w:rsidRPr="00D00D80">
        <w:rPr>
          <w:sz w:val="22"/>
          <w:szCs w:val="22"/>
          <w:lang w:val="en-GB"/>
        </w:rPr>
        <w:t xml:space="preserve"> The consultants are expected to be in close contact with UNICEF staff in Ankara and comply with the ethics and visibility rules of UNICEF when they prepare documents, implement activities and particularly seek and incorporate opinions of children in the process. In writing reports, terminology, ethical rules</w:t>
      </w:r>
      <w:r w:rsidR="00CD5C53" w:rsidRPr="00D00D80">
        <w:rPr>
          <w:sz w:val="22"/>
          <w:szCs w:val="22"/>
          <w:lang w:val="en-GB"/>
        </w:rPr>
        <w:t>,</w:t>
      </w:r>
      <w:r w:rsidRPr="00D00D80">
        <w:rPr>
          <w:sz w:val="22"/>
          <w:szCs w:val="22"/>
          <w:lang w:val="en-GB"/>
        </w:rPr>
        <w:t xml:space="preserve"> publication and citation guidelines of UNICEF shall be followed. Necessary guidelines will be provided by UNICEF.</w:t>
      </w:r>
    </w:p>
    <w:p w:rsidR="009607BB" w:rsidRPr="00D00D80" w:rsidRDefault="009607BB" w:rsidP="005B2DF9">
      <w:pPr>
        <w:jc w:val="both"/>
        <w:rPr>
          <w:sz w:val="22"/>
          <w:szCs w:val="22"/>
          <w:lang w:val="en-GB"/>
        </w:rPr>
      </w:pPr>
    </w:p>
    <w:p w:rsidR="009607BB" w:rsidRPr="00D00D80" w:rsidRDefault="009607BB" w:rsidP="005B2DF9">
      <w:pPr>
        <w:jc w:val="both"/>
        <w:rPr>
          <w:sz w:val="22"/>
          <w:szCs w:val="22"/>
          <w:lang w:val="en-GB"/>
        </w:rPr>
      </w:pPr>
      <w:r w:rsidRPr="00D00D80">
        <w:rPr>
          <w:sz w:val="22"/>
          <w:szCs w:val="22"/>
          <w:lang w:val="en-GB"/>
        </w:rPr>
        <w:t xml:space="preserve">All documents to be produced shall respect gender equality and be in line with the UN Convention on the Rights of the Child and other </w:t>
      </w:r>
      <w:r w:rsidR="00CD5C53" w:rsidRPr="00D00D80">
        <w:rPr>
          <w:sz w:val="22"/>
          <w:szCs w:val="22"/>
          <w:lang w:val="en-GB"/>
        </w:rPr>
        <w:t xml:space="preserve">relevant </w:t>
      </w:r>
      <w:r w:rsidR="00040FE8" w:rsidRPr="00D00D80">
        <w:rPr>
          <w:sz w:val="22"/>
          <w:szCs w:val="22"/>
          <w:lang w:val="en-GB"/>
        </w:rPr>
        <w:t>human rights instruments. The c</w:t>
      </w:r>
      <w:r w:rsidRPr="00D00D80">
        <w:rPr>
          <w:sz w:val="22"/>
          <w:szCs w:val="22"/>
          <w:lang w:val="en-GB"/>
        </w:rPr>
        <w:t>onsultant</w:t>
      </w:r>
      <w:r w:rsidR="00040FE8" w:rsidRPr="00D00D80">
        <w:rPr>
          <w:sz w:val="22"/>
          <w:szCs w:val="22"/>
          <w:lang w:val="en-GB"/>
        </w:rPr>
        <w:t>(s)</w:t>
      </w:r>
      <w:r w:rsidRPr="00D00D80">
        <w:rPr>
          <w:sz w:val="22"/>
          <w:szCs w:val="22"/>
          <w:lang w:val="en-GB"/>
        </w:rPr>
        <w:t xml:space="preserve"> </w:t>
      </w:r>
      <w:r w:rsidR="00040FE8" w:rsidRPr="00D00D80">
        <w:rPr>
          <w:sz w:val="22"/>
          <w:szCs w:val="22"/>
          <w:lang w:val="en-GB"/>
        </w:rPr>
        <w:t>is/are</w:t>
      </w:r>
      <w:r w:rsidRPr="00D00D80">
        <w:rPr>
          <w:sz w:val="22"/>
          <w:szCs w:val="22"/>
          <w:lang w:val="en-GB"/>
        </w:rPr>
        <w:t xml:space="preserve"> also expected to take full account of the principles stated in the General Comment No. 2 of UNCRC</w:t>
      </w:r>
      <w:r w:rsidR="005B2DF9" w:rsidRPr="00D00D80">
        <w:rPr>
          <w:sz w:val="22"/>
          <w:szCs w:val="22"/>
          <w:lang w:val="en-GB"/>
        </w:rPr>
        <w:t xml:space="preserve"> during their terms of office. </w:t>
      </w:r>
      <w:r w:rsidRPr="00D00D80">
        <w:rPr>
          <w:sz w:val="22"/>
          <w:szCs w:val="22"/>
          <w:lang w:val="en-GB"/>
        </w:rPr>
        <w:t>All documents and reports to be delivered by the consultant</w:t>
      </w:r>
      <w:r w:rsidR="00040FE8" w:rsidRPr="00D00D80">
        <w:rPr>
          <w:sz w:val="22"/>
          <w:szCs w:val="22"/>
          <w:lang w:val="en-GB"/>
        </w:rPr>
        <w:t>(</w:t>
      </w:r>
      <w:r w:rsidRPr="00D00D80">
        <w:rPr>
          <w:sz w:val="22"/>
          <w:szCs w:val="22"/>
          <w:lang w:val="en-GB"/>
        </w:rPr>
        <w:t>s</w:t>
      </w:r>
      <w:r w:rsidR="00040FE8" w:rsidRPr="00D00D80">
        <w:rPr>
          <w:sz w:val="22"/>
          <w:szCs w:val="22"/>
          <w:lang w:val="en-GB"/>
        </w:rPr>
        <w:t>)</w:t>
      </w:r>
      <w:r w:rsidRPr="00D00D80">
        <w:rPr>
          <w:sz w:val="22"/>
          <w:szCs w:val="22"/>
          <w:lang w:val="en-GB"/>
        </w:rPr>
        <w:t xml:space="preserve"> shall be approved by UNICEF and by </w:t>
      </w:r>
      <w:r w:rsidR="00CD5C53" w:rsidRPr="00D00D80">
        <w:rPr>
          <w:sz w:val="22"/>
          <w:szCs w:val="22"/>
          <w:lang w:val="en-GB"/>
        </w:rPr>
        <w:t>MoNE</w:t>
      </w:r>
      <w:r w:rsidRPr="00D00D80">
        <w:rPr>
          <w:sz w:val="22"/>
          <w:szCs w:val="22"/>
          <w:lang w:val="en-GB"/>
        </w:rPr>
        <w:t xml:space="preserve"> before the submission of the last version. The intellectual property rights of all documents and related materials shall separately appertain to UNICEF and the documents and materials shall not be used by consultant</w:t>
      </w:r>
      <w:r w:rsidR="00040FE8" w:rsidRPr="00D00D80">
        <w:rPr>
          <w:sz w:val="22"/>
          <w:szCs w:val="22"/>
          <w:lang w:val="en-GB"/>
        </w:rPr>
        <w:t>(</w:t>
      </w:r>
      <w:r w:rsidRPr="00D00D80">
        <w:rPr>
          <w:sz w:val="22"/>
          <w:szCs w:val="22"/>
          <w:lang w:val="en-GB"/>
        </w:rPr>
        <w:t>s</w:t>
      </w:r>
      <w:r w:rsidR="00040FE8" w:rsidRPr="00D00D80">
        <w:rPr>
          <w:sz w:val="22"/>
          <w:szCs w:val="22"/>
          <w:lang w:val="en-GB"/>
        </w:rPr>
        <w:t>)</w:t>
      </w:r>
      <w:r w:rsidRPr="00D00D80">
        <w:rPr>
          <w:sz w:val="22"/>
          <w:szCs w:val="22"/>
          <w:lang w:val="en-GB"/>
        </w:rPr>
        <w:t xml:space="preserve"> and/ or by a third party for another purpose. The use of the documents and materials by giving reference shall be liable to the written permission of the parties.  </w:t>
      </w:r>
    </w:p>
    <w:p w:rsidR="005171C8" w:rsidRPr="00D00D80" w:rsidRDefault="005171C8" w:rsidP="005B2DF9">
      <w:pPr>
        <w:jc w:val="both"/>
        <w:rPr>
          <w:sz w:val="22"/>
          <w:szCs w:val="22"/>
          <w:lang w:val="en-GB"/>
        </w:rPr>
      </w:pPr>
    </w:p>
    <w:p w:rsidR="009607BB" w:rsidRDefault="009607BB" w:rsidP="005B2DF9">
      <w:pPr>
        <w:tabs>
          <w:tab w:val="left" w:pos="-1440"/>
        </w:tabs>
        <w:jc w:val="both"/>
        <w:rPr>
          <w:sz w:val="22"/>
          <w:szCs w:val="22"/>
          <w:lang w:val="en-GB"/>
        </w:rPr>
      </w:pPr>
      <w:r w:rsidRPr="00D00D80">
        <w:rPr>
          <w:sz w:val="22"/>
          <w:szCs w:val="22"/>
          <w:lang w:val="en-GB"/>
        </w:rPr>
        <w:t xml:space="preserve">Applicants are expected to provide detailed information on how they will conduct the work in their technical proposal, through which they explain the methodology to be applied in detail and contain brief information on (including but not limited to) the topics below: </w:t>
      </w:r>
    </w:p>
    <w:p w:rsidR="009607BB" w:rsidRPr="00D00D80" w:rsidRDefault="009607BB" w:rsidP="004B15DB">
      <w:pPr>
        <w:numPr>
          <w:ilvl w:val="0"/>
          <w:numId w:val="3"/>
        </w:numPr>
        <w:ind w:left="270" w:hanging="180"/>
        <w:contextualSpacing/>
        <w:jc w:val="both"/>
        <w:rPr>
          <w:sz w:val="22"/>
          <w:szCs w:val="22"/>
          <w:lang w:val="en-GB"/>
        </w:rPr>
      </w:pPr>
      <w:r w:rsidRPr="00D00D80">
        <w:rPr>
          <w:sz w:val="22"/>
          <w:szCs w:val="22"/>
          <w:lang w:val="en-GB"/>
        </w:rPr>
        <w:t xml:space="preserve">Main objective </w:t>
      </w:r>
    </w:p>
    <w:p w:rsidR="009607BB" w:rsidRPr="00D00D80" w:rsidRDefault="009607BB" w:rsidP="004B15DB">
      <w:pPr>
        <w:numPr>
          <w:ilvl w:val="0"/>
          <w:numId w:val="3"/>
        </w:numPr>
        <w:ind w:left="270" w:hanging="180"/>
        <w:jc w:val="both"/>
        <w:rPr>
          <w:sz w:val="22"/>
          <w:szCs w:val="22"/>
          <w:lang w:val="en-GB"/>
        </w:rPr>
      </w:pPr>
      <w:r w:rsidRPr="00D00D80">
        <w:rPr>
          <w:sz w:val="22"/>
          <w:szCs w:val="22"/>
          <w:lang w:val="en-GB"/>
        </w:rPr>
        <w:t>General methodology</w:t>
      </w:r>
    </w:p>
    <w:p w:rsidR="009607BB" w:rsidRPr="00D00D80" w:rsidRDefault="009607BB" w:rsidP="004B15DB">
      <w:pPr>
        <w:numPr>
          <w:ilvl w:val="0"/>
          <w:numId w:val="3"/>
        </w:numPr>
        <w:ind w:left="270" w:hanging="180"/>
        <w:jc w:val="both"/>
        <w:rPr>
          <w:sz w:val="22"/>
          <w:szCs w:val="22"/>
          <w:lang w:val="en-GB"/>
        </w:rPr>
      </w:pPr>
      <w:r w:rsidRPr="00D00D80">
        <w:rPr>
          <w:sz w:val="22"/>
          <w:szCs w:val="22"/>
          <w:lang w:val="en-GB"/>
        </w:rPr>
        <w:t>Estimated amount of time required for each task; time table and logistical requirements (if any)</w:t>
      </w:r>
    </w:p>
    <w:p w:rsidR="009607BB" w:rsidRPr="00D00D80" w:rsidRDefault="009607BB" w:rsidP="004B15DB">
      <w:pPr>
        <w:numPr>
          <w:ilvl w:val="0"/>
          <w:numId w:val="3"/>
        </w:numPr>
        <w:ind w:left="270" w:hanging="180"/>
        <w:jc w:val="both"/>
        <w:rPr>
          <w:sz w:val="22"/>
          <w:szCs w:val="22"/>
          <w:lang w:val="en-GB"/>
        </w:rPr>
      </w:pPr>
      <w:r w:rsidRPr="00D00D80">
        <w:rPr>
          <w:sz w:val="22"/>
          <w:szCs w:val="22"/>
          <w:lang w:val="en-GB"/>
        </w:rPr>
        <w:t>Details of team members/other experts (if any) and clear division of labor with person/day calculations</w:t>
      </w:r>
    </w:p>
    <w:p w:rsidR="009607BB" w:rsidRPr="00D00D80" w:rsidRDefault="009607BB" w:rsidP="004B15DB">
      <w:pPr>
        <w:numPr>
          <w:ilvl w:val="0"/>
          <w:numId w:val="3"/>
        </w:numPr>
        <w:ind w:left="270" w:hanging="180"/>
        <w:jc w:val="both"/>
        <w:rPr>
          <w:sz w:val="22"/>
          <w:szCs w:val="22"/>
          <w:lang w:val="en-GB"/>
        </w:rPr>
      </w:pPr>
      <w:r w:rsidRPr="00D00D80">
        <w:rPr>
          <w:sz w:val="22"/>
          <w:szCs w:val="22"/>
          <w:lang w:val="en-GB"/>
        </w:rPr>
        <w:t>Risks and Assumptions</w:t>
      </w:r>
    </w:p>
    <w:p w:rsidR="005B2DF9" w:rsidRPr="00D00D80" w:rsidRDefault="005B2DF9" w:rsidP="005B2DF9">
      <w:pPr>
        <w:ind w:left="270"/>
        <w:jc w:val="both"/>
        <w:rPr>
          <w:sz w:val="22"/>
          <w:szCs w:val="22"/>
          <w:lang w:val="en-GB"/>
        </w:rPr>
      </w:pPr>
    </w:p>
    <w:p w:rsidR="009607BB" w:rsidRDefault="009607BB" w:rsidP="005B2DF9">
      <w:pPr>
        <w:tabs>
          <w:tab w:val="left" w:pos="-1440"/>
        </w:tabs>
        <w:jc w:val="both"/>
        <w:rPr>
          <w:sz w:val="22"/>
          <w:szCs w:val="22"/>
          <w:lang w:val="en-GB"/>
        </w:rPr>
      </w:pPr>
      <w:r w:rsidRPr="00D00D80">
        <w:rPr>
          <w:sz w:val="22"/>
          <w:szCs w:val="22"/>
          <w:lang w:val="en-GB"/>
        </w:rPr>
        <w:t>In the light of these principles, applicants are expected to submit their technical and financial proposals and CVs to UNICEF in compliance with the format attached to this ToR.</w:t>
      </w:r>
    </w:p>
    <w:p w:rsidR="00D00D80" w:rsidRPr="00D00D80" w:rsidRDefault="00D00D80" w:rsidP="005B2DF9">
      <w:pPr>
        <w:tabs>
          <w:tab w:val="left" w:pos="-1440"/>
        </w:tabs>
        <w:jc w:val="both"/>
        <w:rPr>
          <w:sz w:val="22"/>
          <w:szCs w:val="22"/>
          <w:lang w:val="en-GB"/>
        </w:rPr>
      </w:pPr>
    </w:p>
    <w:p w:rsidR="002F74AF" w:rsidRPr="00D00D80" w:rsidRDefault="005B2DF9" w:rsidP="005B2DF9">
      <w:pPr>
        <w:widowControl/>
        <w:tabs>
          <w:tab w:val="left" w:pos="5295"/>
        </w:tabs>
        <w:rPr>
          <w:b/>
          <w:sz w:val="22"/>
          <w:szCs w:val="22"/>
          <w:lang w:val="en-GB"/>
        </w:rPr>
      </w:pPr>
      <w:r w:rsidRPr="00D00D80">
        <w:rPr>
          <w:b/>
          <w:sz w:val="22"/>
          <w:szCs w:val="22"/>
          <w:lang w:val="en-GB"/>
        </w:rPr>
        <w:t xml:space="preserve">IV. </w:t>
      </w:r>
      <w:r w:rsidR="002F7213" w:rsidRPr="00D00D80">
        <w:rPr>
          <w:b/>
          <w:sz w:val="22"/>
          <w:szCs w:val="22"/>
          <w:lang w:val="en-GB"/>
        </w:rPr>
        <w:t>LOCATION</w:t>
      </w:r>
      <w:r w:rsidR="00CA03B7" w:rsidRPr="00D00D80">
        <w:rPr>
          <w:b/>
          <w:sz w:val="22"/>
          <w:szCs w:val="22"/>
          <w:lang w:val="en-GB"/>
        </w:rPr>
        <w:tab/>
      </w:r>
    </w:p>
    <w:p w:rsidR="008D19B2" w:rsidRPr="00D00D80" w:rsidRDefault="00356E79" w:rsidP="005B2DF9">
      <w:pPr>
        <w:jc w:val="both"/>
        <w:rPr>
          <w:sz w:val="22"/>
          <w:szCs w:val="22"/>
          <w:lang w:val="en-GB"/>
        </w:rPr>
      </w:pPr>
      <w:r w:rsidRPr="00D00D80">
        <w:rPr>
          <w:sz w:val="22"/>
          <w:szCs w:val="22"/>
          <w:lang w:val="en-GB"/>
        </w:rPr>
        <w:t>Home</w:t>
      </w:r>
      <w:r w:rsidR="00A45E2B" w:rsidRPr="00D00D80">
        <w:rPr>
          <w:sz w:val="22"/>
          <w:szCs w:val="22"/>
          <w:lang w:val="en-GB"/>
        </w:rPr>
        <w:t xml:space="preserve"> b</w:t>
      </w:r>
      <w:r w:rsidR="008D19B2" w:rsidRPr="00D00D80">
        <w:rPr>
          <w:sz w:val="22"/>
          <w:szCs w:val="22"/>
          <w:lang w:val="en-GB"/>
        </w:rPr>
        <w:t>ased</w:t>
      </w:r>
      <w:r w:rsidR="00F91B82" w:rsidRPr="00D00D80">
        <w:rPr>
          <w:sz w:val="22"/>
          <w:szCs w:val="22"/>
          <w:lang w:val="en-GB"/>
        </w:rPr>
        <w:t xml:space="preserve"> </w:t>
      </w:r>
      <w:r w:rsidR="001B43A0" w:rsidRPr="00D00D80">
        <w:rPr>
          <w:sz w:val="22"/>
          <w:szCs w:val="22"/>
          <w:lang w:val="en-GB"/>
        </w:rPr>
        <w:t xml:space="preserve">with </w:t>
      </w:r>
      <w:r w:rsidR="00F84CFD" w:rsidRPr="00D00D80">
        <w:rPr>
          <w:sz w:val="22"/>
          <w:szCs w:val="22"/>
          <w:lang w:val="en-GB"/>
        </w:rPr>
        <w:t>20</w:t>
      </w:r>
      <w:r w:rsidR="009607BB" w:rsidRPr="00D00D80">
        <w:rPr>
          <w:sz w:val="22"/>
          <w:szCs w:val="22"/>
          <w:lang w:val="en-GB"/>
        </w:rPr>
        <w:t xml:space="preserve"> </w:t>
      </w:r>
      <w:r w:rsidR="00F84CFD" w:rsidRPr="00D00D80">
        <w:rPr>
          <w:sz w:val="22"/>
          <w:szCs w:val="22"/>
          <w:lang w:val="en-GB"/>
        </w:rPr>
        <w:t>% availability in Turkey depending on the tasks and deliverables. In Turkey, there will be frequent</w:t>
      </w:r>
      <w:r w:rsidR="001B43A0" w:rsidRPr="00D00D80">
        <w:rPr>
          <w:sz w:val="22"/>
          <w:szCs w:val="22"/>
          <w:lang w:val="en-GB"/>
        </w:rPr>
        <w:t xml:space="preserve"> provincial site visits and meetings with UNICEF and MoNE </w:t>
      </w:r>
      <w:r w:rsidR="009607BB" w:rsidRPr="00D00D80">
        <w:rPr>
          <w:sz w:val="22"/>
          <w:szCs w:val="22"/>
          <w:lang w:val="en-GB"/>
        </w:rPr>
        <w:t>staff</w:t>
      </w:r>
      <w:r w:rsidR="001B43A0" w:rsidRPr="00D00D80">
        <w:rPr>
          <w:sz w:val="22"/>
          <w:szCs w:val="22"/>
          <w:lang w:val="en-GB"/>
        </w:rPr>
        <w:t xml:space="preserve"> in Ankara. </w:t>
      </w:r>
    </w:p>
    <w:p w:rsidR="002F74AF" w:rsidRPr="00D00D80" w:rsidRDefault="005B2DF9" w:rsidP="005B2DF9">
      <w:pPr>
        <w:pStyle w:val="ListParagraph"/>
        <w:pBdr>
          <w:bottom w:val="single" w:sz="6" w:space="1" w:color="auto"/>
        </w:pBdr>
        <w:ind w:left="0"/>
        <w:rPr>
          <w:b/>
          <w:sz w:val="22"/>
          <w:szCs w:val="22"/>
          <w:lang w:val="en-GB"/>
        </w:rPr>
      </w:pPr>
      <w:r w:rsidRPr="00D00D80">
        <w:rPr>
          <w:b/>
          <w:sz w:val="22"/>
          <w:szCs w:val="22"/>
          <w:lang w:val="en-GB"/>
        </w:rPr>
        <w:t xml:space="preserve">V. </w:t>
      </w:r>
      <w:r w:rsidR="002F74AF" w:rsidRPr="00D00D80">
        <w:rPr>
          <w:b/>
          <w:sz w:val="22"/>
          <w:szCs w:val="22"/>
          <w:lang w:val="en-GB"/>
        </w:rPr>
        <w:t>SUPERVISOR</w:t>
      </w:r>
    </w:p>
    <w:p w:rsidR="0004797D" w:rsidRPr="00D00D80" w:rsidRDefault="0004797D" w:rsidP="005B2DF9">
      <w:pPr>
        <w:ind w:left="-567" w:right="-567"/>
        <w:rPr>
          <w:sz w:val="22"/>
          <w:szCs w:val="22"/>
          <w:lang w:val="en-GB"/>
        </w:rPr>
      </w:pPr>
    </w:p>
    <w:p w:rsidR="002F74AF" w:rsidRPr="00D00D80" w:rsidRDefault="00E43EB3" w:rsidP="005B2DF9">
      <w:pPr>
        <w:rPr>
          <w:sz w:val="22"/>
          <w:szCs w:val="22"/>
          <w:lang w:val="en-GB"/>
        </w:rPr>
      </w:pPr>
      <w:r w:rsidRPr="00D00D80">
        <w:rPr>
          <w:b/>
          <w:sz w:val="22"/>
          <w:szCs w:val="22"/>
          <w:lang w:val="en-GB"/>
        </w:rPr>
        <w:t>Education Specialist</w:t>
      </w:r>
      <w:r w:rsidR="00772A2E" w:rsidRPr="00D00D80">
        <w:rPr>
          <w:sz w:val="22"/>
          <w:szCs w:val="22"/>
          <w:lang w:val="en-GB"/>
        </w:rPr>
        <w:t xml:space="preserve"> </w:t>
      </w:r>
      <w:r w:rsidR="007E0D55" w:rsidRPr="00D00D80">
        <w:rPr>
          <w:sz w:val="22"/>
          <w:szCs w:val="22"/>
          <w:lang w:val="en-GB"/>
        </w:rPr>
        <w:t xml:space="preserve">– </w:t>
      </w:r>
      <w:r w:rsidR="00772A2E" w:rsidRPr="00D00D80">
        <w:rPr>
          <w:sz w:val="22"/>
          <w:szCs w:val="22"/>
          <w:lang w:val="en-GB"/>
        </w:rPr>
        <w:t xml:space="preserve">Output 3.A </w:t>
      </w:r>
      <w:r w:rsidR="00DB2EA3" w:rsidRPr="00D00D80">
        <w:rPr>
          <w:sz w:val="22"/>
          <w:szCs w:val="22"/>
          <w:lang w:val="en-GB"/>
        </w:rPr>
        <w:t>Education Opportunities for Adolescent Girls and B</w:t>
      </w:r>
      <w:r w:rsidR="00E96293" w:rsidRPr="00D00D80">
        <w:rPr>
          <w:sz w:val="22"/>
          <w:szCs w:val="22"/>
          <w:lang w:val="en-GB"/>
        </w:rPr>
        <w:t>o</w:t>
      </w:r>
      <w:r w:rsidR="00DB2EA3" w:rsidRPr="00D00D80">
        <w:rPr>
          <w:sz w:val="22"/>
          <w:szCs w:val="22"/>
          <w:lang w:val="en-GB"/>
        </w:rPr>
        <w:t>ys</w:t>
      </w:r>
    </w:p>
    <w:p w:rsidR="00E43EB3" w:rsidRPr="00D00D80" w:rsidRDefault="00E43EB3" w:rsidP="005B2DF9">
      <w:pPr>
        <w:ind w:right="-567"/>
        <w:rPr>
          <w:sz w:val="22"/>
          <w:szCs w:val="22"/>
          <w:lang w:val="en-GB"/>
        </w:rPr>
      </w:pPr>
    </w:p>
    <w:p w:rsidR="002F74AF" w:rsidRPr="00D00D80" w:rsidRDefault="005B2DF9" w:rsidP="005B2DF9">
      <w:pPr>
        <w:pStyle w:val="ListParagraph"/>
        <w:pBdr>
          <w:bottom w:val="single" w:sz="6" w:space="1" w:color="auto"/>
        </w:pBdr>
        <w:ind w:left="0"/>
        <w:rPr>
          <w:b/>
          <w:sz w:val="22"/>
          <w:szCs w:val="22"/>
          <w:lang w:val="en-GB"/>
        </w:rPr>
      </w:pPr>
      <w:r w:rsidRPr="00D00D80">
        <w:rPr>
          <w:b/>
          <w:sz w:val="22"/>
          <w:szCs w:val="22"/>
          <w:lang w:val="en-GB"/>
        </w:rPr>
        <w:t xml:space="preserve">VI. </w:t>
      </w:r>
      <w:r w:rsidR="00864AA0" w:rsidRPr="00D00D80">
        <w:rPr>
          <w:b/>
          <w:sz w:val="22"/>
          <w:szCs w:val="22"/>
          <w:lang w:val="en-GB"/>
        </w:rPr>
        <w:t>DURATION &amp; COST</w:t>
      </w:r>
    </w:p>
    <w:p w:rsidR="002F74AF" w:rsidRPr="00D00D80" w:rsidRDefault="002F74AF" w:rsidP="005B2DF9">
      <w:pPr>
        <w:ind w:right="-567"/>
        <w:rPr>
          <w:sz w:val="22"/>
          <w:szCs w:val="22"/>
          <w:lang w:val="en-GB"/>
        </w:rPr>
      </w:pPr>
    </w:p>
    <w:p w:rsidR="009607BB" w:rsidRPr="00D00D80" w:rsidRDefault="009607BB" w:rsidP="004B15DB">
      <w:pPr>
        <w:widowControl/>
        <w:numPr>
          <w:ilvl w:val="0"/>
          <w:numId w:val="5"/>
        </w:numPr>
        <w:snapToGrid w:val="0"/>
        <w:ind w:left="270" w:hanging="180"/>
        <w:contextualSpacing/>
        <w:jc w:val="both"/>
        <w:rPr>
          <w:sz w:val="22"/>
          <w:szCs w:val="22"/>
          <w:lang w:val="en-GB"/>
        </w:rPr>
      </w:pPr>
      <w:r w:rsidRPr="00D00D80">
        <w:rPr>
          <w:b/>
          <w:bCs/>
          <w:sz w:val="22"/>
          <w:szCs w:val="22"/>
          <w:lang w:val="en-GB"/>
        </w:rPr>
        <w:t xml:space="preserve">Duration: </w:t>
      </w:r>
      <w:r w:rsidRPr="00D00D80">
        <w:rPr>
          <w:sz w:val="22"/>
          <w:szCs w:val="22"/>
          <w:lang w:val="en-GB"/>
        </w:rPr>
        <w:t xml:space="preserve">Assignment will cover a seven-month period, to start from June 2017 and end in June 2018, with a break between September 2017 and February 2018, which is </w:t>
      </w:r>
      <w:r w:rsidR="00AE538E" w:rsidRPr="00D00D80">
        <w:rPr>
          <w:sz w:val="22"/>
          <w:szCs w:val="22"/>
          <w:lang w:val="en-GB"/>
        </w:rPr>
        <w:t xml:space="preserve">deemed </w:t>
      </w:r>
      <w:r w:rsidRPr="00D00D80">
        <w:rPr>
          <w:sz w:val="22"/>
          <w:szCs w:val="22"/>
          <w:lang w:val="en-GB"/>
        </w:rPr>
        <w:t>necessary for the implementation plan. Material development and ToTs will be carried out before the start of 2017-2018 school year while monitoring and evaluation of the implementation will be done during the 2</w:t>
      </w:r>
      <w:r w:rsidRPr="00D00D80">
        <w:rPr>
          <w:sz w:val="22"/>
          <w:szCs w:val="22"/>
          <w:vertAlign w:val="superscript"/>
          <w:lang w:val="en-GB"/>
        </w:rPr>
        <w:t>nd</w:t>
      </w:r>
      <w:r w:rsidRPr="00D00D80">
        <w:rPr>
          <w:sz w:val="22"/>
          <w:szCs w:val="22"/>
          <w:lang w:val="en-GB"/>
        </w:rPr>
        <w:t xml:space="preserve"> school semester). Payments will be effected upon the delivery of outputs. In case of any unexpected delay in the estimated time frame (approval process, force majeure etc.), the duration of the assignment might be extended subject to the same conditions and mutual will of the parties.</w:t>
      </w:r>
    </w:p>
    <w:p w:rsidR="00CD705B" w:rsidRPr="00D00D80" w:rsidRDefault="00CD705B" w:rsidP="00CD705B">
      <w:pPr>
        <w:widowControl/>
        <w:snapToGrid w:val="0"/>
        <w:ind w:left="270"/>
        <w:contextualSpacing/>
        <w:jc w:val="both"/>
        <w:rPr>
          <w:sz w:val="22"/>
          <w:szCs w:val="22"/>
          <w:lang w:val="en-GB"/>
        </w:rPr>
      </w:pPr>
    </w:p>
    <w:p w:rsidR="009607BB" w:rsidRPr="00D00D80" w:rsidRDefault="009607BB" w:rsidP="004B15DB">
      <w:pPr>
        <w:widowControl/>
        <w:numPr>
          <w:ilvl w:val="0"/>
          <w:numId w:val="5"/>
        </w:numPr>
        <w:snapToGrid w:val="0"/>
        <w:ind w:left="270" w:hanging="180"/>
        <w:contextualSpacing/>
        <w:jc w:val="both"/>
        <w:rPr>
          <w:sz w:val="22"/>
          <w:szCs w:val="22"/>
          <w:lang w:val="en-GB"/>
        </w:rPr>
      </w:pPr>
      <w:r w:rsidRPr="00D00D80">
        <w:rPr>
          <w:b/>
          <w:sz w:val="22"/>
          <w:szCs w:val="22"/>
          <w:lang w:val="en-GB"/>
        </w:rPr>
        <w:t xml:space="preserve">Estimated Cost of Consultancy: </w:t>
      </w:r>
      <w:r w:rsidRPr="00D00D80">
        <w:rPr>
          <w:sz w:val="22"/>
          <w:szCs w:val="22"/>
          <w:lang w:val="en-GB"/>
        </w:rPr>
        <w:t>Applicants shall present a detailed financial proposal that elaborates on daily costs on the basis of the below-mentioned programme and deliverables, including a total sum demanded. Travel and accommodation costs arising from planned visits and other costs related to administrative tools, communications, etc. shall be covered by the consultants.</w:t>
      </w:r>
    </w:p>
    <w:p w:rsidR="00CD705B" w:rsidRPr="00D00D80" w:rsidRDefault="00CD705B" w:rsidP="00CD705B">
      <w:pPr>
        <w:pStyle w:val="ListParagraph"/>
        <w:rPr>
          <w:sz w:val="22"/>
          <w:szCs w:val="22"/>
          <w:lang w:val="en-GB"/>
        </w:rPr>
      </w:pPr>
    </w:p>
    <w:p w:rsidR="009607BB" w:rsidRPr="00D00D80" w:rsidRDefault="009607BB" w:rsidP="004B15DB">
      <w:pPr>
        <w:widowControl/>
        <w:numPr>
          <w:ilvl w:val="0"/>
          <w:numId w:val="4"/>
        </w:numPr>
        <w:snapToGrid w:val="0"/>
        <w:ind w:left="270" w:hanging="180"/>
        <w:jc w:val="both"/>
        <w:rPr>
          <w:b/>
          <w:bCs/>
          <w:sz w:val="22"/>
          <w:szCs w:val="22"/>
          <w:lang w:val="en-GB"/>
        </w:rPr>
      </w:pPr>
      <w:r w:rsidRPr="00D00D80">
        <w:rPr>
          <w:b/>
          <w:sz w:val="22"/>
          <w:szCs w:val="22"/>
          <w:lang w:val="en-GB"/>
        </w:rPr>
        <w:t>Payment schedule:</w:t>
      </w:r>
      <w:r w:rsidRPr="00D00D80">
        <w:rPr>
          <w:sz w:val="22"/>
          <w:szCs w:val="22"/>
          <w:lang w:val="en-GB"/>
        </w:rPr>
        <w:t xml:space="preserve"> The contract for the </w:t>
      </w:r>
      <w:r w:rsidR="007A1D10" w:rsidRPr="00D00D80">
        <w:rPr>
          <w:sz w:val="22"/>
          <w:szCs w:val="22"/>
          <w:lang w:val="en-GB"/>
        </w:rPr>
        <w:t>inter</w:t>
      </w:r>
      <w:r w:rsidRPr="00D00D80">
        <w:rPr>
          <w:sz w:val="22"/>
          <w:szCs w:val="22"/>
          <w:lang w:val="en-GB"/>
        </w:rPr>
        <w:t xml:space="preserve">national consultant will be issued in </w:t>
      </w:r>
      <w:r w:rsidR="007A1D10" w:rsidRPr="00D00D80">
        <w:rPr>
          <w:sz w:val="22"/>
          <w:szCs w:val="22"/>
          <w:lang w:val="en-GB"/>
        </w:rPr>
        <w:t>USD</w:t>
      </w:r>
      <w:r w:rsidRPr="00D00D80">
        <w:rPr>
          <w:sz w:val="22"/>
          <w:szCs w:val="22"/>
          <w:lang w:val="en-GB"/>
        </w:rPr>
        <w:t>.</w:t>
      </w:r>
    </w:p>
    <w:p w:rsidR="009607BB" w:rsidRPr="00D00D80" w:rsidRDefault="009607BB" w:rsidP="005B2DF9">
      <w:pPr>
        <w:widowControl/>
        <w:ind w:left="270"/>
        <w:jc w:val="both"/>
        <w:rPr>
          <w:b/>
          <w:sz w:val="22"/>
          <w:szCs w:val="22"/>
          <w:u w:val="single"/>
          <w:lang w:val="en-GB"/>
        </w:rPr>
      </w:pPr>
      <w:r w:rsidRPr="00D00D80">
        <w:rPr>
          <w:b/>
          <w:sz w:val="22"/>
          <w:szCs w:val="22"/>
          <w:u w:val="single"/>
          <w:lang w:val="en-GB"/>
        </w:rPr>
        <w:t xml:space="preserve">Candidates are required to specify their daily rates, the number of anticipated working days for each deliverable in the financial proposal, and provide the breakdown of the lump sum amount for each deliverable as well as incidentals of each deliverable in </w:t>
      </w:r>
      <w:r w:rsidR="007A1D10" w:rsidRPr="00D00D80">
        <w:rPr>
          <w:b/>
          <w:sz w:val="22"/>
          <w:szCs w:val="22"/>
          <w:u w:val="single"/>
          <w:lang w:val="en-GB"/>
        </w:rPr>
        <w:t>USD</w:t>
      </w:r>
      <w:r w:rsidRPr="00D00D80">
        <w:rPr>
          <w:b/>
          <w:sz w:val="22"/>
          <w:szCs w:val="22"/>
          <w:u w:val="single"/>
          <w:lang w:val="en-GB"/>
        </w:rPr>
        <w:t>.</w:t>
      </w:r>
    </w:p>
    <w:p w:rsidR="00CD705B" w:rsidRPr="00D00D80" w:rsidRDefault="00CD705B" w:rsidP="005B2DF9">
      <w:pPr>
        <w:widowControl/>
        <w:ind w:left="270"/>
        <w:jc w:val="both"/>
        <w:rPr>
          <w:b/>
          <w:bCs/>
          <w:sz w:val="22"/>
          <w:szCs w:val="22"/>
          <w:u w:val="single"/>
          <w:lang w:val="en-GB"/>
        </w:rPr>
      </w:pPr>
    </w:p>
    <w:p w:rsidR="009607BB" w:rsidRPr="00D00D80" w:rsidRDefault="009607BB" w:rsidP="004B15DB">
      <w:pPr>
        <w:widowControl/>
        <w:numPr>
          <w:ilvl w:val="0"/>
          <w:numId w:val="4"/>
        </w:numPr>
        <w:snapToGrid w:val="0"/>
        <w:ind w:left="270" w:hanging="180"/>
        <w:jc w:val="both"/>
        <w:rPr>
          <w:b/>
          <w:bCs/>
          <w:sz w:val="22"/>
          <w:szCs w:val="22"/>
          <w:lang w:val="en-GB"/>
        </w:rPr>
      </w:pPr>
      <w:r w:rsidRPr="00D00D80">
        <w:rPr>
          <w:b/>
          <w:sz w:val="22"/>
          <w:szCs w:val="22"/>
          <w:lang w:val="en-GB"/>
        </w:rPr>
        <w:t xml:space="preserve">Reservations: </w:t>
      </w:r>
      <w:r w:rsidRPr="00D00D80">
        <w:rPr>
          <w:sz w:val="22"/>
          <w:szCs w:val="22"/>
          <w:lang w:val="en-GB"/>
        </w:rPr>
        <w:t xml:space="preserve">UNICEF reserves the right to terminate the contract and/or withhold all or a portion of payment if the rules and the regulations regarding confidentiality, ethics and procedures of UNICEF and the partners are not followed, the performance is unsatisfactory, or work/deliverables are incomplete, not delivered or fail to meet the deadlines.   </w:t>
      </w:r>
    </w:p>
    <w:p w:rsidR="009607BB" w:rsidRPr="00D00D80" w:rsidRDefault="009607BB" w:rsidP="005B2DF9">
      <w:pPr>
        <w:widowControl/>
        <w:snapToGrid w:val="0"/>
        <w:jc w:val="both"/>
        <w:rPr>
          <w:sz w:val="22"/>
          <w:szCs w:val="22"/>
          <w:u w:val="single"/>
          <w:lang w:val="en-GB"/>
        </w:rPr>
      </w:pPr>
    </w:p>
    <w:p w:rsidR="009607BB" w:rsidRPr="00D00D80" w:rsidRDefault="009607BB" w:rsidP="005B2DF9">
      <w:pPr>
        <w:widowControl/>
        <w:jc w:val="both"/>
        <w:rPr>
          <w:sz w:val="22"/>
          <w:szCs w:val="22"/>
          <w:u w:val="single"/>
          <w:lang w:val="en-GB"/>
        </w:rPr>
      </w:pPr>
      <w:r w:rsidRPr="00D00D80">
        <w:rPr>
          <w:sz w:val="22"/>
          <w:szCs w:val="22"/>
          <w:u w:val="single"/>
          <w:lang w:val="en-GB"/>
        </w:rPr>
        <w:t xml:space="preserve">Technical and financial proposals shall be submitted in separate folders. After the technical evaluation, the financial proposals of qualified candidates will be evaluated. The technical evaluation will be completed based on the attached evaluation criteria form. </w:t>
      </w:r>
    </w:p>
    <w:p w:rsidR="002A44CE" w:rsidRPr="00D00D80" w:rsidRDefault="002A44CE" w:rsidP="005B2DF9">
      <w:pPr>
        <w:widowControl/>
        <w:jc w:val="both"/>
        <w:rPr>
          <w:b/>
          <w:sz w:val="22"/>
          <w:szCs w:val="22"/>
          <w:u w:val="single"/>
          <w:lang w:val="en-GB"/>
        </w:rPr>
      </w:pPr>
    </w:p>
    <w:p w:rsidR="005B2DF9" w:rsidRPr="00D00D80" w:rsidRDefault="005B2DF9" w:rsidP="005B2DF9">
      <w:pPr>
        <w:widowControl/>
        <w:jc w:val="both"/>
        <w:rPr>
          <w:b/>
          <w:sz w:val="22"/>
          <w:szCs w:val="22"/>
          <w:u w:val="single"/>
          <w:lang w:val="en-GB"/>
        </w:rPr>
      </w:pPr>
    </w:p>
    <w:p w:rsidR="002F74AF" w:rsidRPr="00D00D80" w:rsidRDefault="005B2DF9" w:rsidP="005B2DF9">
      <w:pPr>
        <w:pStyle w:val="ListParagraph"/>
        <w:pBdr>
          <w:bottom w:val="single" w:sz="6" w:space="1" w:color="auto"/>
        </w:pBdr>
        <w:ind w:left="0" w:right="-567"/>
        <w:rPr>
          <w:b/>
          <w:sz w:val="22"/>
          <w:szCs w:val="22"/>
          <w:lang w:val="en-GB"/>
        </w:rPr>
      </w:pPr>
      <w:r w:rsidRPr="00D00D80">
        <w:rPr>
          <w:b/>
          <w:sz w:val="22"/>
          <w:szCs w:val="22"/>
          <w:lang w:val="en-GB"/>
        </w:rPr>
        <w:t xml:space="preserve">VII. </w:t>
      </w:r>
      <w:r w:rsidR="009708B0" w:rsidRPr="00D00D80">
        <w:rPr>
          <w:b/>
          <w:sz w:val="22"/>
          <w:szCs w:val="22"/>
          <w:lang w:val="en-GB"/>
        </w:rPr>
        <w:t>DESCRIP</w:t>
      </w:r>
      <w:r w:rsidR="00212CCB" w:rsidRPr="00D00D80">
        <w:rPr>
          <w:b/>
          <w:sz w:val="22"/>
          <w:szCs w:val="22"/>
          <w:lang w:val="en-GB"/>
        </w:rPr>
        <w:t xml:space="preserve">TION of the ASSIGNMENT </w:t>
      </w:r>
    </w:p>
    <w:p w:rsidR="00ED3FFA" w:rsidRPr="00D00D80" w:rsidRDefault="00ED3FFA" w:rsidP="005B2DF9">
      <w:pPr>
        <w:pStyle w:val="BodyText"/>
        <w:jc w:val="both"/>
        <w:rPr>
          <w:rFonts w:ascii="Times New Roman" w:hAnsi="Times New Roman"/>
          <w:sz w:val="22"/>
          <w:szCs w:val="22"/>
          <w:lang w:val="en-GB"/>
        </w:rPr>
      </w:pPr>
    </w:p>
    <w:p w:rsidR="00451A3E" w:rsidRPr="00D00D80" w:rsidRDefault="00212CCB" w:rsidP="005B2DF9">
      <w:pPr>
        <w:pStyle w:val="BodyText"/>
        <w:jc w:val="both"/>
        <w:rPr>
          <w:rFonts w:ascii="Times New Roman" w:hAnsi="Times New Roman"/>
          <w:sz w:val="22"/>
          <w:szCs w:val="22"/>
          <w:lang w:val="en-GB"/>
        </w:rPr>
      </w:pPr>
      <w:r w:rsidRPr="00D00D80">
        <w:rPr>
          <w:rFonts w:ascii="Times New Roman" w:hAnsi="Times New Roman"/>
          <w:sz w:val="22"/>
          <w:szCs w:val="22"/>
          <w:lang w:val="en-GB"/>
        </w:rPr>
        <w:t xml:space="preserve">Within the scope of the assignment, </w:t>
      </w:r>
      <w:r w:rsidR="00451A3E" w:rsidRPr="00D00D80">
        <w:rPr>
          <w:rFonts w:ascii="Times New Roman" w:hAnsi="Times New Roman"/>
          <w:sz w:val="22"/>
          <w:szCs w:val="22"/>
          <w:lang w:val="en-GB"/>
        </w:rPr>
        <w:t xml:space="preserve">the international consultant </w:t>
      </w:r>
      <w:r w:rsidR="00451A3E" w:rsidRPr="00D00D80">
        <w:rPr>
          <w:rFonts w:ascii="Times New Roman" w:hAnsi="Times New Roman"/>
          <w:bCs/>
          <w:iCs/>
          <w:color w:val="000000"/>
          <w:sz w:val="22"/>
          <w:szCs w:val="22"/>
          <w:lang w:val="en-GB"/>
        </w:rPr>
        <w:t xml:space="preserve">(together with </w:t>
      </w:r>
      <w:r w:rsidR="00451A3E" w:rsidRPr="00D00D80">
        <w:rPr>
          <w:rFonts w:ascii="Times New Roman" w:hAnsi="Times New Roman"/>
          <w:sz w:val="22"/>
          <w:szCs w:val="22"/>
          <w:lang w:val="en-GB"/>
        </w:rPr>
        <w:t xml:space="preserve">a </w:t>
      </w:r>
      <w:r w:rsidR="00451A3E" w:rsidRPr="00D00D80">
        <w:rPr>
          <w:rFonts w:ascii="Times New Roman" w:hAnsi="Times New Roman"/>
          <w:bCs/>
          <w:iCs/>
          <w:color w:val="000000"/>
          <w:sz w:val="22"/>
          <w:szCs w:val="22"/>
          <w:lang w:val="en-GB"/>
        </w:rPr>
        <w:t xml:space="preserve">Team of National Consultants who will be hired separately) shall </w:t>
      </w:r>
      <w:r w:rsidR="00451A3E" w:rsidRPr="00D00D80">
        <w:rPr>
          <w:rFonts w:ascii="Times New Roman" w:hAnsi="Times New Roman"/>
          <w:sz w:val="22"/>
          <w:szCs w:val="22"/>
          <w:lang w:val="en-GB"/>
        </w:rPr>
        <w:t xml:space="preserve">work under the guidance of the UNICEF Education Specialist and carry out the duties below: </w:t>
      </w:r>
    </w:p>
    <w:p w:rsidR="00451A3E" w:rsidRPr="00D00D80" w:rsidRDefault="00451A3E" w:rsidP="005B2DF9">
      <w:pPr>
        <w:pStyle w:val="BodyText"/>
        <w:jc w:val="both"/>
        <w:rPr>
          <w:rFonts w:ascii="Times New Roman" w:hAnsi="Times New Roman"/>
          <w:sz w:val="22"/>
          <w:szCs w:val="22"/>
          <w:lang w:val="en-GB"/>
        </w:rPr>
      </w:pPr>
    </w:p>
    <w:p w:rsidR="00B5012B" w:rsidRPr="00D00D80" w:rsidRDefault="00B5012B" w:rsidP="004B15DB">
      <w:pPr>
        <w:numPr>
          <w:ilvl w:val="0"/>
          <w:numId w:val="6"/>
        </w:numPr>
        <w:tabs>
          <w:tab w:val="left" w:pos="990"/>
        </w:tabs>
        <w:autoSpaceDE w:val="0"/>
        <w:autoSpaceDN w:val="0"/>
        <w:adjustRightInd w:val="0"/>
        <w:ind w:left="284" w:hanging="283"/>
        <w:contextualSpacing/>
        <w:jc w:val="both"/>
        <w:rPr>
          <w:sz w:val="22"/>
          <w:szCs w:val="22"/>
          <w:lang w:val="en-GB"/>
        </w:rPr>
      </w:pPr>
      <w:r w:rsidRPr="00D00D80">
        <w:rPr>
          <w:color w:val="000000"/>
          <w:sz w:val="22"/>
          <w:szCs w:val="22"/>
          <w:lang w:val="en-GB"/>
        </w:rPr>
        <w:t xml:space="preserve">Review the Guidelines on Gender Equality Sensitive School Standards and its attachments and prepare a report including the best practices in other countries. </w:t>
      </w:r>
      <w:r w:rsidRPr="00D00D80">
        <w:rPr>
          <w:sz w:val="22"/>
          <w:szCs w:val="22"/>
          <w:lang w:val="en-GB"/>
        </w:rPr>
        <w:t>In revising the Guidelines, the following points shall be taken into consideration:</w:t>
      </w:r>
    </w:p>
    <w:p w:rsidR="00B5012B" w:rsidRPr="00D00D80" w:rsidRDefault="00B5012B" w:rsidP="004B15DB">
      <w:pPr>
        <w:numPr>
          <w:ilvl w:val="0"/>
          <w:numId w:val="7"/>
        </w:numPr>
        <w:tabs>
          <w:tab w:val="left" w:pos="-1440"/>
        </w:tabs>
        <w:ind w:left="630"/>
        <w:jc w:val="both"/>
        <w:rPr>
          <w:sz w:val="22"/>
          <w:szCs w:val="22"/>
          <w:lang w:val="en-GB"/>
        </w:rPr>
      </w:pPr>
      <w:r w:rsidRPr="00D00D80">
        <w:rPr>
          <w:sz w:val="22"/>
          <w:szCs w:val="22"/>
          <w:lang w:val="en-GB"/>
        </w:rPr>
        <w:t xml:space="preserve">The revision should offer comparative information on the theories and practices of existing models. </w:t>
      </w:r>
    </w:p>
    <w:p w:rsidR="00B5012B" w:rsidRPr="00D00D80" w:rsidRDefault="00B5012B" w:rsidP="004B15DB">
      <w:pPr>
        <w:numPr>
          <w:ilvl w:val="0"/>
          <w:numId w:val="7"/>
        </w:numPr>
        <w:tabs>
          <w:tab w:val="left" w:pos="-1440"/>
        </w:tabs>
        <w:ind w:left="630"/>
        <w:jc w:val="both"/>
        <w:rPr>
          <w:sz w:val="22"/>
          <w:szCs w:val="22"/>
          <w:lang w:val="en-GB"/>
        </w:rPr>
      </w:pPr>
      <w:r w:rsidRPr="00D00D80">
        <w:rPr>
          <w:sz w:val="22"/>
          <w:szCs w:val="22"/>
          <w:lang w:val="en-GB"/>
        </w:rPr>
        <w:t xml:space="preserve">The current context in Turkey should be analysed and reflected upon. </w:t>
      </w:r>
    </w:p>
    <w:p w:rsidR="00B5012B" w:rsidRPr="00D00D80" w:rsidRDefault="00B5012B" w:rsidP="004B15DB">
      <w:pPr>
        <w:numPr>
          <w:ilvl w:val="0"/>
          <w:numId w:val="7"/>
        </w:numPr>
        <w:tabs>
          <w:tab w:val="left" w:pos="-1440"/>
        </w:tabs>
        <w:ind w:left="630"/>
        <w:jc w:val="both"/>
        <w:rPr>
          <w:sz w:val="22"/>
          <w:szCs w:val="22"/>
          <w:lang w:val="en-GB"/>
        </w:rPr>
      </w:pPr>
      <w:r w:rsidRPr="00D00D80">
        <w:rPr>
          <w:sz w:val="22"/>
          <w:szCs w:val="22"/>
          <w:lang w:val="en-GB"/>
        </w:rPr>
        <w:t>Whenever relevant, international standards should be referred to.</w:t>
      </w:r>
    </w:p>
    <w:p w:rsidR="00626D1E" w:rsidRPr="00D00D80" w:rsidRDefault="00626D1E" w:rsidP="00626D1E">
      <w:pPr>
        <w:tabs>
          <w:tab w:val="left" w:pos="-1440"/>
        </w:tabs>
        <w:ind w:left="630"/>
        <w:jc w:val="both"/>
        <w:rPr>
          <w:sz w:val="22"/>
          <w:szCs w:val="22"/>
          <w:lang w:val="en-GB"/>
        </w:rPr>
      </w:pPr>
    </w:p>
    <w:p w:rsidR="006F4ACD" w:rsidRPr="00D00D80" w:rsidRDefault="000B14F6" w:rsidP="004B15DB">
      <w:pPr>
        <w:pStyle w:val="ListParagraph"/>
        <w:numPr>
          <w:ilvl w:val="0"/>
          <w:numId w:val="6"/>
        </w:numPr>
        <w:autoSpaceDE w:val="0"/>
        <w:autoSpaceDN w:val="0"/>
        <w:adjustRightInd w:val="0"/>
        <w:ind w:left="270" w:hanging="270"/>
        <w:jc w:val="both"/>
        <w:rPr>
          <w:bCs/>
          <w:color w:val="000000"/>
          <w:sz w:val="22"/>
          <w:szCs w:val="22"/>
          <w:lang w:val="en-GB"/>
        </w:rPr>
      </w:pPr>
      <w:r w:rsidRPr="00D00D80">
        <w:rPr>
          <w:color w:val="000000"/>
          <w:sz w:val="22"/>
          <w:szCs w:val="22"/>
          <w:lang w:val="en-GB"/>
        </w:rPr>
        <w:t>Participate in the</w:t>
      </w:r>
      <w:r w:rsidR="005D06A3" w:rsidRPr="00D00D80">
        <w:rPr>
          <w:color w:val="000000"/>
          <w:sz w:val="22"/>
          <w:szCs w:val="22"/>
          <w:lang w:val="en-GB"/>
        </w:rPr>
        <w:t xml:space="preserve"> 3 site visit</w:t>
      </w:r>
      <w:r w:rsidR="005D58C3" w:rsidRPr="00D00D80">
        <w:rPr>
          <w:color w:val="000000"/>
          <w:sz w:val="22"/>
          <w:szCs w:val="22"/>
          <w:lang w:val="en-GB"/>
        </w:rPr>
        <w:t>s and in each of these site visits</w:t>
      </w:r>
      <w:r w:rsidRPr="00D00D80">
        <w:rPr>
          <w:color w:val="000000"/>
          <w:sz w:val="22"/>
          <w:szCs w:val="22"/>
          <w:lang w:val="en-GB"/>
        </w:rPr>
        <w:t xml:space="preserve"> together with the national team of consultants, </w:t>
      </w:r>
      <w:r w:rsidR="00C9344C" w:rsidRPr="00D00D80">
        <w:rPr>
          <w:color w:val="000000"/>
          <w:sz w:val="22"/>
          <w:szCs w:val="22"/>
          <w:lang w:val="en-GB"/>
        </w:rPr>
        <w:t>conduct</w:t>
      </w:r>
      <w:r w:rsidR="000461EE" w:rsidRPr="00D00D80">
        <w:rPr>
          <w:color w:val="000000"/>
          <w:sz w:val="22"/>
          <w:szCs w:val="22"/>
          <w:lang w:val="en-GB"/>
        </w:rPr>
        <w:t xml:space="preserve"> interviews with </w:t>
      </w:r>
      <w:r w:rsidRPr="00D00D80">
        <w:rPr>
          <w:color w:val="000000"/>
          <w:sz w:val="22"/>
          <w:szCs w:val="22"/>
          <w:lang w:val="en-GB"/>
        </w:rPr>
        <w:t>minimum</w:t>
      </w:r>
      <w:r w:rsidR="000461EE" w:rsidRPr="00D00D80">
        <w:rPr>
          <w:color w:val="000000"/>
          <w:sz w:val="22"/>
          <w:szCs w:val="22"/>
          <w:lang w:val="en-GB"/>
        </w:rPr>
        <w:t xml:space="preserve"> 4 students, 2 teachers, 2 school principals of pilot schools and 2 managers of prov</w:t>
      </w:r>
      <w:r w:rsidR="005D58C3" w:rsidRPr="00D00D80">
        <w:rPr>
          <w:color w:val="000000"/>
          <w:sz w:val="22"/>
          <w:szCs w:val="22"/>
          <w:lang w:val="en-GB"/>
        </w:rPr>
        <w:t>incial directorate of education</w:t>
      </w:r>
      <w:r w:rsidR="000461EE" w:rsidRPr="00D00D80">
        <w:rPr>
          <w:color w:val="000000"/>
          <w:sz w:val="22"/>
          <w:szCs w:val="22"/>
          <w:lang w:val="en-GB"/>
        </w:rPr>
        <w:t xml:space="preserve"> and</w:t>
      </w:r>
      <w:r w:rsidR="005D58C3" w:rsidRPr="00D00D80">
        <w:rPr>
          <w:color w:val="000000"/>
          <w:sz w:val="22"/>
          <w:szCs w:val="22"/>
          <w:lang w:val="en-GB"/>
        </w:rPr>
        <w:t xml:space="preserve"> provide</w:t>
      </w:r>
      <w:r w:rsidR="005D06A3" w:rsidRPr="00D00D80">
        <w:rPr>
          <w:color w:val="000000"/>
          <w:sz w:val="22"/>
          <w:szCs w:val="22"/>
          <w:lang w:val="en-GB"/>
        </w:rPr>
        <w:t xml:space="preserve"> supervision to the pilot schools where t</w:t>
      </w:r>
      <w:r w:rsidR="005D58C3" w:rsidRPr="00D00D80">
        <w:rPr>
          <w:color w:val="000000"/>
          <w:sz w:val="22"/>
          <w:szCs w:val="22"/>
          <w:lang w:val="en-GB"/>
        </w:rPr>
        <w:t xml:space="preserve">he implementation </w:t>
      </w:r>
      <w:r w:rsidR="00B26B6F" w:rsidRPr="00D00D80">
        <w:rPr>
          <w:color w:val="000000"/>
          <w:sz w:val="22"/>
          <w:szCs w:val="22"/>
          <w:lang w:val="en-GB"/>
        </w:rPr>
        <w:t xml:space="preserve">is </w:t>
      </w:r>
      <w:r w:rsidR="005D58C3" w:rsidRPr="00D00D80">
        <w:rPr>
          <w:color w:val="000000"/>
          <w:sz w:val="22"/>
          <w:szCs w:val="22"/>
          <w:lang w:val="en-GB"/>
        </w:rPr>
        <w:t>to take</w:t>
      </w:r>
      <w:r w:rsidR="005D06A3" w:rsidRPr="00D00D80">
        <w:rPr>
          <w:color w:val="000000"/>
          <w:sz w:val="22"/>
          <w:szCs w:val="22"/>
          <w:lang w:val="en-GB"/>
        </w:rPr>
        <w:t xml:space="preserve"> place in 2017-2018 school year.</w:t>
      </w:r>
    </w:p>
    <w:p w:rsidR="00626D1E" w:rsidRPr="00D00D80" w:rsidRDefault="00626D1E" w:rsidP="00626D1E">
      <w:pPr>
        <w:pStyle w:val="ListParagraph"/>
        <w:autoSpaceDE w:val="0"/>
        <w:autoSpaceDN w:val="0"/>
        <w:adjustRightInd w:val="0"/>
        <w:ind w:left="270"/>
        <w:jc w:val="both"/>
        <w:rPr>
          <w:bCs/>
          <w:color w:val="000000"/>
          <w:sz w:val="22"/>
          <w:szCs w:val="22"/>
          <w:lang w:val="en-GB"/>
        </w:rPr>
      </w:pPr>
    </w:p>
    <w:p w:rsidR="00B22187" w:rsidRPr="00D00D80" w:rsidRDefault="007F2BE9" w:rsidP="004B15DB">
      <w:pPr>
        <w:pStyle w:val="ListParagraph"/>
        <w:numPr>
          <w:ilvl w:val="0"/>
          <w:numId w:val="6"/>
        </w:numPr>
        <w:autoSpaceDE w:val="0"/>
        <w:autoSpaceDN w:val="0"/>
        <w:adjustRightInd w:val="0"/>
        <w:ind w:left="284" w:hanging="284"/>
        <w:jc w:val="both"/>
        <w:rPr>
          <w:bCs/>
          <w:color w:val="000000"/>
          <w:sz w:val="22"/>
          <w:szCs w:val="22"/>
          <w:lang w:val="en-GB"/>
        </w:rPr>
      </w:pPr>
      <w:r w:rsidRPr="00D00D80">
        <w:rPr>
          <w:color w:val="000000"/>
          <w:sz w:val="22"/>
          <w:szCs w:val="22"/>
          <w:lang w:val="en-GB"/>
        </w:rPr>
        <w:t>Participat</w:t>
      </w:r>
      <w:r w:rsidR="00C9344C" w:rsidRPr="00D00D80">
        <w:rPr>
          <w:color w:val="000000"/>
          <w:sz w:val="22"/>
          <w:szCs w:val="22"/>
          <w:lang w:val="en-GB"/>
        </w:rPr>
        <w:t>e</w:t>
      </w:r>
      <w:r w:rsidRPr="00D00D80">
        <w:rPr>
          <w:color w:val="000000"/>
          <w:sz w:val="22"/>
          <w:szCs w:val="22"/>
          <w:lang w:val="en-GB"/>
        </w:rPr>
        <w:t xml:space="preserve"> in evaluation meetings to be held in 2017-2018 school year, </w:t>
      </w:r>
      <w:r w:rsidR="0048535F" w:rsidRPr="00D00D80">
        <w:rPr>
          <w:color w:val="000000"/>
          <w:sz w:val="22"/>
          <w:szCs w:val="22"/>
          <w:lang w:val="en-GB"/>
        </w:rPr>
        <w:t>and in the</w:t>
      </w:r>
      <w:r w:rsidRPr="00D00D80">
        <w:rPr>
          <w:color w:val="000000"/>
          <w:sz w:val="22"/>
          <w:szCs w:val="22"/>
          <w:lang w:val="en-GB"/>
        </w:rPr>
        <w:t xml:space="preserve"> presentation about the work done during the project and </w:t>
      </w:r>
      <w:r w:rsidR="0048535F" w:rsidRPr="00D00D80">
        <w:rPr>
          <w:color w:val="000000"/>
          <w:sz w:val="22"/>
          <w:szCs w:val="22"/>
          <w:lang w:val="en-GB"/>
        </w:rPr>
        <w:t xml:space="preserve">in </w:t>
      </w:r>
      <w:r w:rsidRPr="00D00D80">
        <w:rPr>
          <w:color w:val="000000"/>
          <w:sz w:val="22"/>
          <w:szCs w:val="22"/>
          <w:lang w:val="en-GB"/>
        </w:rPr>
        <w:t>submit</w:t>
      </w:r>
      <w:r w:rsidR="0048535F" w:rsidRPr="00D00D80">
        <w:rPr>
          <w:color w:val="000000"/>
          <w:sz w:val="22"/>
          <w:szCs w:val="22"/>
          <w:lang w:val="en-GB"/>
        </w:rPr>
        <w:t>ting</w:t>
      </w:r>
      <w:r w:rsidR="00C9344C" w:rsidRPr="00D00D80">
        <w:rPr>
          <w:color w:val="000000"/>
          <w:sz w:val="22"/>
          <w:szCs w:val="22"/>
          <w:lang w:val="en-GB"/>
        </w:rPr>
        <w:t xml:space="preserve"> an</w:t>
      </w:r>
      <w:r w:rsidRPr="00D00D80">
        <w:rPr>
          <w:color w:val="000000"/>
          <w:sz w:val="22"/>
          <w:szCs w:val="22"/>
          <w:lang w:val="en-GB"/>
        </w:rPr>
        <w:t xml:space="preserve"> evaluation meeting report. </w:t>
      </w:r>
    </w:p>
    <w:p w:rsidR="00626D1E" w:rsidRPr="00D00D80" w:rsidRDefault="00626D1E" w:rsidP="00626D1E">
      <w:pPr>
        <w:pStyle w:val="ListParagraph"/>
        <w:rPr>
          <w:bCs/>
          <w:color w:val="000000"/>
          <w:sz w:val="22"/>
          <w:szCs w:val="22"/>
          <w:lang w:val="en-GB"/>
        </w:rPr>
      </w:pPr>
    </w:p>
    <w:p w:rsidR="007F2BE9" w:rsidRPr="00D00D80" w:rsidRDefault="007F2BE9" w:rsidP="004B15DB">
      <w:pPr>
        <w:pStyle w:val="ListParagraph"/>
        <w:numPr>
          <w:ilvl w:val="0"/>
          <w:numId w:val="6"/>
        </w:numPr>
        <w:autoSpaceDE w:val="0"/>
        <w:autoSpaceDN w:val="0"/>
        <w:adjustRightInd w:val="0"/>
        <w:ind w:left="284" w:hanging="284"/>
        <w:jc w:val="both"/>
        <w:rPr>
          <w:bCs/>
          <w:color w:val="000000"/>
          <w:sz w:val="22"/>
          <w:szCs w:val="22"/>
          <w:lang w:val="en-GB"/>
        </w:rPr>
      </w:pPr>
      <w:r w:rsidRPr="00D00D80">
        <w:rPr>
          <w:color w:val="000000"/>
          <w:sz w:val="22"/>
          <w:szCs w:val="22"/>
          <w:lang w:val="en-GB"/>
        </w:rPr>
        <w:t>Prepar</w:t>
      </w:r>
      <w:r w:rsidR="001E6039" w:rsidRPr="00D00D80">
        <w:rPr>
          <w:color w:val="000000"/>
          <w:sz w:val="22"/>
          <w:szCs w:val="22"/>
          <w:lang w:val="en-GB"/>
        </w:rPr>
        <w:t>e</w:t>
      </w:r>
      <w:r w:rsidRPr="00D00D80">
        <w:rPr>
          <w:color w:val="000000"/>
          <w:sz w:val="22"/>
          <w:szCs w:val="22"/>
          <w:lang w:val="en-GB"/>
        </w:rPr>
        <w:t xml:space="preserve"> a recommendation list for the revision and finaliz</w:t>
      </w:r>
      <w:r w:rsidR="001E6039" w:rsidRPr="00D00D80">
        <w:rPr>
          <w:color w:val="000000"/>
          <w:sz w:val="22"/>
          <w:szCs w:val="22"/>
          <w:lang w:val="en-GB"/>
        </w:rPr>
        <w:t>e</w:t>
      </w:r>
      <w:r w:rsidRPr="00D00D80">
        <w:rPr>
          <w:color w:val="000000"/>
          <w:sz w:val="22"/>
          <w:szCs w:val="22"/>
          <w:lang w:val="en-GB"/>
        </w:rPr>
        <w:t xml:space="preserve"> the Gender Sensitive School Standards.</w:t>
      </w:r>
    </w:p>
    <w:p w:rsidR="005B2DF9" w:rsidRPr="00D00D80" w:rsidRDefault="005B2DF9" w:rsidP="005B2DF9">
      <w:pPr>
        <w:autoSpaceDE w:val="0"/>
        <w:autoSpaceDN w:val="0"/>
        <w:adjustRightInd w:val="0"/>
        <w:jc w:val="both"/>
        <w:rPr>
          <w:bCs/>
          <w:color w:val="000000"/>
          <w:sz w:val="22"/>
          <w:szCs w:val="22"/>
          <w:lang w:val="en-GB"/>
        </w:rPr>
      </w:pPr>
    </w:p>
    <w:p w:rsidR="00B5012B" w:rsidRPr="00D00D80" w:rsidRDefault="00B5012B" w:rsidP="005B2DF9">
      <w:pPr>
        <w:autoSpaceDE w:val="0"/>
        <w:autoSpaceDN w:val="0"/>
        <w:adjustRightInd w:val="0"/>
        <w:jc w:val="both"/>
        <w:rPr>
          <w:bCs/>
          <w:color w:val="000000"/>
          <w:sz w:val="22"/>
          <w:szCs w:val="22"/>
          <w:lang w:val="en-GB"/>
        </w:rPr>
      </w:pPr>
      <w:r w:rsidRPr="00D00D80">
        <w:rPr>
          <w:bCs/>
          <w:color w:val="000000"/>
          <w:sz w:val="22"/>
          <w:szCs w:val="22"/>
          <w:lang w:val="en-GB"/>
        </w:rPr>
        <w:t xml:space="preserve">The tasks listed above shall be undertaken jointly by the international consultant and national consultants as a team. Thus, clear division of roles and responsibilities in conducting each activity shall be determined and agreed upon during the inception phase in consultation with UNICEF. </w:t>
      </w:r>
    </w:p>
    <w:p w:rsidR="005B2DF9" w:rsidRPr="00D00D80" w:rsidRDefault="005B2DF9" w:rsidP="005B2DF9">
      <w:pPr>
        <w:jc w:val="both"/>
        <w:rPr>
          <w:sz w:val="22"/>
          <w:szCs w:val="22"/>
          <w:lang w:val="en-GB"/>
        </w:rPr>
      </w:pPr>
    </w:p>
    <w:p w:rsidR="00B5012B" w:rsidRPr="00D00D80" w:rsidRDefault="00B5012B" w:rsidP="005B2DF9">
      <w:pPr>
        <w:jc w:val="both"/>
        <w:rPr>
          <w:sz w:val="22"/>
          <w:szCs w:val="22"/>
          <w:lang w:val="en-GB"/>
        </w:rPr>
      </w:pPr>
      <w:r w:rsidRPr="00D00D80">
        <w:rPr>
          <w:sz w:val="22"/>
          <w:szCs w:val="22"/>
          <w:lang w:val="en-GB"/>
        </w:rPr>
        <w:t xml:space="preserve">Whereas the tasks and deliverables are spread over a period of 12 months with a break in between due to the implementation plan, the </w:t>
      </w:r>
      <w:r w:rsidR="00CD5C53" w:rsidRPr="00D00D80">
        <w:rPr>
          <w:sz w:val="22"/>
          <w:szCs w:val="22"/>
          <w:lang w:val="en-GB"/>
        </w:rPr>
        <w:t>international consultant</w:t>
      </w:r>
      <w:r w:rsidRPr="00D00D80">
        <w:rPr>
          <w:sz w:val="22"/>
          <w:szCs w:val="22"/>
          <w:lang w:val="en-GB"/>
        </w:rPr>
        <w:t xml:space="preserve"> </w:t>
      </w:r>
      <w:r w:rsidR="00CD5C53" w:rsidRPr="00D00D80">
        <w:rPr>
          <w:sz w:val="22"/>
          <w:szCs w:val="22"/>
          <w:lang w:val="en-GB"/>
        </w:rPr>
        <w:t>is</w:t>
      </w:r>
      <w:r w:rsidRPr="00D00D80">
        <w:rPr>
          <w:sz w:val="22"/>
          <w:szCs w:val="22"/>
          <w:lang w:val="en-GB"/>
        </w:rPr>
        <w:t xml:space="preserve"> required to submit one offer covering the whole consultancy. Upon selection of the consultants two contracts will be issued for the consultant as follows:</w:t>
      </w:r>
    </w:p>
    <w:p w:rsidR="005B2DF9" w:rsidRPr="00D00D80" w:rsidRDefault="005B2DF9" w:rsidP="005B2DF9">
      <w:pPr>
        <w:jc w:val="both"/>
        <w:rPr>
          <w:sz w:val="22"/>
          <w:szCs w:val="22"/>
          <w:lang w:val="en-GB"/>
        </w:rPr>
      </w:pPr>
    </w:p>
    <w:p w:rsidR="00B5012B" w:rsidRPr="00D00D80" w:rsidRDefault="00B5012B" w:rsidP="004B15DB">
      <w:pPr>
        <w:pStyle w:val="ListParagraph"/>
        <w:numPr>
          <w:ilvl w:val="0"/>
          <w:numId w:val="4"/>
        </w:numPr>
        <w:ind w:left="360" w:hanging="180"/>
        <w:jc w:val="both"/>
        <w:rPr>
          <w:sz w:val="22"/>
          <w:szCs w:val="22"/>
          <w:lang w:val="en-GB"/>
        </w:rPr>
      </w:pPr>
      <w:r w:rsidRPr="00D00D80">
        <w:rPr>
          <w:sz w:val="22"/>
          <w:szCs w:val="22"/>
          <w:lang w:val="en-GB"/>
        </w:rPr>
        <w:t>First contract: June – August, 2017 to cover the first deliverable.</w:t>
      </w:r>
    </w:p>
    <w:p w:rsidR="00B5012B" w:rsidRPr="00D00D80" w:rsidRDefault="00B5012B" w:rsidP="004B15DB">
      <w:pPr>
        <w:pStyle w:val="ListParagraph"/>
        <w:numPr>
          <w:ilvl w:val="0"/>
          <w:numId w:val="4"/>
        </w:numPr>
        <w:ind w:left="360" w:hanging="180"/>
        <w:jc w:val="both"/>
        <w:rPr>
          <w:sz w:val="22"/>
          <w:szCs w:val="22"/>
          <w:lang w:val="en-GB"/>
        </w:rPr>
      </w:pPr>
      <w:r w:rsidRPr="00D00D80">
        <w:rPr>
          <w:sz w:val="22"/>
          <w:szCs w:val="22"/>
          <w:lang w:val="en-GB"/>
        </w:rPr>
        <w:t>Second contract: February – June, 2018 to cover the remaining three tasks.</w:t>
      </w:r>
    </w:p>
    <w:p w:rsidR="00B22187" w:rsidRPr="00D00D80" w:rsidRDefault="00B22187" w:rsidP="005B2DF9">
      <w:pPr>
        <w:jc w:val="both"/>
        <w:rPr>
          <w:sz w:val="22"/>
          <w:szCs w:val="22"/>
          <w:lang w:val="en-GB"/>
        </w:rPr>
      </w:pPr>
    </w:p>
    <w:p w:rsidR="005B2DF9" w:rsidRPr="00D00D80" w:rsidRDefault="005B2DF9" w:rsidP="005B2DF9">
      <w:pPr>
        <w:jc w:val="both"/>
        <w:rPr>
          <w:sz w:val="22"/>
          <w:szCs w:val="22"/>
          <w:lang w:val="en-GB"/>
        </w:rPr>
      </w:pPr>
    </w:p>
    <w:p w:rsidR="00B5012B" w:rsidRPr="00D00D80" w:rsidRDefault="00B5012B" w:rsidP="005B2DF9">
      <w:pPr>
        <w:jc w:val="both"/>
        <w:rPr>
          <w:sz w:val="22"/>
          <w:szCs w:val="22"/>
          <w:lang w:val="en-GB"/>
        </w:rPr>
      </w:pPr>
      <w:r w:rsidRPr="00D00D80">
        <w:rPr>
          <w:sz w:val="22"/>
          <w:szCs w:val="22"/>
          <w:lang w:val="en-GB"/>
        </w:rPr>
        <w:t>The second contract to be issued will be based on satisfactory performance of the first two tasks.</w:t>
      </w:r>
    </w:p>
    <w:p w:rsidR="00B5012B" w:rsidRPr="00D00D80" w:rsidRDefault="00B5012B" w:rsidP="005B2DF9">
      <w:pPr>
        <w:jc w:val="both"/>
        <w:rPr>
          <w:bCs/>
          <w:sz w:val="22"/>
          <w:szCs w:val="22"/>
          <w:u w:val="single"/>
          <w:lang w:val="en-GB"/>
        </w:rPr>
      </w:pPr>
      <w:r w:rsidRPr="00D00D80">
        <w:rPr>
          <w:bCs/>
          <w:sz w:val="22"/>
          <w:szCs w:val="22"/>
          <w:u w:val="single"/>
          <w:lang w:val="en-GB"/>
        </w:rPr>
        <w:t>UNICEF reserves the right not to issue the second contract if the performance in the first contract period is not satisfactory.</w:t>
      </w:r>
    </w:p>
    <w:p w:rsidR="00B22187" w:rsidRPr="00D00D80" w:rsidRDefault="00B22187" w:rsidP="005B2DF9">
      <w:pPr>
        <w:autoSpaceDE w:val="0"/>
        <w:autoSpaceDN w:val="0"/>
        <w:adjustRightInd w:val="0"/>
        <w:jc w:val="both"/>
        <w:rPr>
          <w:bCs/>
          <w:color w:val="000000"/>
          <w:sz w:val="22"/>
          <w:szCs w:val="22"/>
          <w:lang w:val="en-GB"/>
        </w:rPr>
      </w:pPr>
    </w:p>
    <w:p w:rsidR="00D60287" w:rsidRPr="00D00D80" w:rsidRDefault="00D60287" w:rsidP="005B2DF9">
      <w:pPr>
        <w:autoSpaceDE w:val="0"/>
        <w:autoSpaceDN w:val="0"/>
        <w:adjustRightInd w:val="0"/>
        <w:jc w:val="both"/>
        <w:rPr>
          <w:bCs/>
          <w:color w:val="000000"/>
          <w:sz w:val="22"/>
          <w:szCs w:val="22"/>
          <w:lang w:val="en-GB"/>
        </w:rPr>
      </w:pPr>
    </w:p>
    <w:tbl>
      <w:tblPr>
        <w:tblStyle w:val="TableGrid1"/>
        <w:tblW w:w="8935" w:type="dxa"/>
        <w:tblLook w:val="04A0" w:firstRow="1" w:lastRow="0" w:firstColumn="1" w:lastColumn="0" w:noHBand="0" w:noVBand="1"/>
      </w:tblPr>
      <w:tblGrid>
        <w:gridCol w:w="361"/>
        <w:gridCol w:w="3476"/>
        <w:gridCol w:w="2682"/>
        <w:gridCol w:w="1213"/>
        <w:gridCol w:w="1203"/>
      </w:tblGrid>
      <w:tr w:rsidR="009E29CE" w:rsidRPr="00D00D80" w:rsidTr="007A1D10">
        <w:trPr>
          <w:trHeight w:val="412"/>
        </w:trPr>
        <w:tc>
          <w:tcPr>
            <w:tcW w:w="361" w:type="dxa"/>
            <w:noWrap/>
            <w:hideMark/>
          </w:tcPr>
          <w:p w:rsidR="004C3EFF" w:rsidRPr="00D00D80" w:rsidRDefault="004C3EFF" w:rsidP="005B2DF9">
            <w:pPr>
              <w:widowControl/>
              <w:jc w:val="center"/>
              <w:rPr>
                <w:rFonts w:asciiTheme="majorBidi" w:hAnsiTheme="majorBidi" w:cstheme="majorBidi"/>
                <w:b/>
                <w:bCs/>
                <w:snapToGrid/>
                <w:color w:val="000000"/>
                <w:sz w:val="22"/>
                <w:szCs w:val="22"/>
                <w:lang w:val="en-GB" w:eastAsia="tr-TR"/>
              </w:rPr>
            </w:pPr>
          </w:p>
        </w:tc>
        <w:tc>
          <w:tcPr>
            <w:tcW w:w="3476" w:type="dxa"/>
            <w:hideMark/>
          </w:tcPr>
          <w:p w:rsidR="004C3EFF" w:rsidRPr="00D00D80" w:rsidRDefault="004C3EFF" w:rsidP="005B2DF9">
            <w:pPr>
              <w:widowControl/>
              <w:jc w:val="center"/>
              <w:rPr>
                <w:rFonts w:asciiTheme="majorBidi" w:hAnsiTheme="majorBidi" w:cstheme="majorBidi"/>
                <w:b/>
                <w:bCs/>
                <w:snapToGrid/>
                <w:color w:val="000000"/>
                <w:sz w:val="22"/>
                <w:szCs w:val="22"/>
                <w:lang w:val="en-GB" w:eastAsia="tr-TR"/>
              </w:rPr>
            </w:pPr>
            <w:r w:rsidRPr="00D00D80">
              <w:rPr>
                <w:rFonts w:asciiTheme="majorBidi" w:hAnsiTheme="majorBidi" w:cstheme="majorBidi"/>
                <w:b/>
                <w:bCs/>
                <w:snapToGrid/>
                <w:color w:val="000000"/>
                <w:sz w:val="22"/>
                <w:szCs w:val="22"/>
                <w:lang w:val="en-GB" w:eastAsia="tr-TR"/>
              </w:rPr>
              <w:t>Tasks</w:t>
            </w:r>
          </w:p>
        </w:tc>
        <w:tc>
          <w:tcPr>
            <w:tcW w:w="2682" w:type="dxa"/>
            <w:noWrap/>
            <w:hideMark/>
          </w:tcPr>
          <w:p w:rsidR="004C3EFF" w:rsidRPr="00D00D80" w:rsidRDefault="004C3EFF" w:rsidP="005B2DF9">
            <w:pPr>
              <w:widowControl/>
              <w:jc w:val="center"/>
              <w:rPr>
                <w:rFonts w:asciiTheme="majorBidi" w:hAnsiTheme="majorBidi" w:cstheme="majorBidi"/>
                <w:b/>
                <w:bCs/>
                <w:snapToGrid/>
                <w:color w:val="000000"/>
                <w:sz w:val="22"/>
                <w:szCs w:val="22"/>
                <w:lang w:val="en-GB" w:eastAsia="tr-TR"/>
              </w:rPr>
            </w:pPr>
            <w:r w:rsidRPr="00D00D80">
              <w:rPr>
                <w:rFonts w:asciiTheme="majorBidi" w:hAnsiTheme="majorBidi" w:cstheme="majorBidi"/>
                <w:b/>
                <w:bCs/>
                <w:snapToGrid/>
                <w:color w:val="000000"/>
                <w:sz w:val="22"/>
                <w:szCs w:val="22"/>
                <w:lang w:val="en-GB" w:eastAsia="tr-TR"/>
              </w:rPr>
              <w:t>Deliverables/Outputs</w:t>
            </w:r>
          </w:p>
        </w:tc>
        <w:tc>
          <w:tcPr>
            <w:tcW w:w="1213" w:type="dxa"/>
            <w:noWrap/>
            <w:hideMark/>
          </w:tcPr>
          <w:p w:rsidR="004C3EFF" w:rsidRPr="00D00D80" w:rsidRDefault="004C3EFF" w:rsidP="005B2DF9">
            <w:pPr>
              <w:widowControl/>
              <w:jc w:val="center"/>
              <w:rPr>
                <w:rFonts w:asciiTheme="majorBidi" w:hAnsiTheme="majorBidi" w:cstheme="majorBidi"/>
                <w:b/>
                <w:bCs/>
                <w:snapToGrid/>
                <w:color w:val="000000"/>
                <w:sz w:val="22"/>
                <w:szCs w:val="22"/>
                <w:lang w:val="en-GB" w:eastAsia="tr-TR"/>
              </w:rPr>
            </w:pPr>
            <w:r w:rsidRPr="00D00D80">
              <w:rPr>
                <w:rFonts w:asciiTheme="majorBidi" w:hAnsiTheme="majorBidi" w:cstheme="majorBidi"/>
                <w:b/>
                <w:bCs/>
                <w:snapToGrid/>
                <w:color w:val="000000"/>
                <w:sz w:val="22"/>
                <w:szCs w:val="22"/>
                <w:lang w:val="en-GB" w:eastAsia="tr-TR"/>
              </w:rPr>
              <w:t>Language</w:t>
            </w:r>
          </w:p>
        </w:tc>
        <w:tc>
          <w:tcPr>
            <w:tcW w:w="1203" w:type="dxa"/>
            <w:noWrap/>
            <w:hideMark/>
          </w:tcPr>
          <w:p w:rsidR="004C3EFF" w:rsidRPr="00D00D80" w:rsidRDefault="004C3EFF" w:rsidP="005B2DF9">
            <w:pPr>
              <w:widowControl/>
              <w:jc w:val="center"/>
              <w:rPr>
                <w:rFonts w:asciiTheme="majorBidi" w:hAnsiTheme="majorBidi" w:cstheme="majorBidi"/>
                <w:b/>
                <w:bCs/>
                <w:snapToGrid/>
                <w:color w:val="000000"/>
                <w:sz w:val="22"/>
                <w:szCs w:val="22"/>
                <w:lang w:val="en-GB" w:eastAsia="tr-TR"/>
              </w:rPr>
            </w:pPr>
            <w:r w:rsidRPr="00D00D80">
              <w:rPr>
                <w:rFonts w:asciiTheme="majorBidi" w:hAnsiTheme="majorBidi" w:cstheme="majorBidi"/>
                <w:b/>
                <w:bCs/>
                <w:snapToGrid/>
                <w:color w:val="000000"/>
                <w:sz w:val="22"/>
                <w:szCs w:val="22"/>
                <w:lang w:val="en-GB" w:eastAsia="tr-TR"/>
              </w:rPr>
              <w:t>Timeline</w:t>
            </w:r>
          </w:p>
        </w:tc>
      </w:tr>
      <w:tr w:rsidR="009E29CE" w:rsidRPr="00D00D80" w:rsidTr="006709F0">
        <w:trPr>
          <w:trHeight w:val="1340"/>
        </w:trPr>
        <w:tc>
          <w:tcPr>
            <w:tcW w:w="361" w:type="dxa"/>
            <w:noWrap/>
            <w:hideMark/>
          </w:tcPr>
          <w:p w:rsidR="004C3EFF" w:rsidRPr="00D00D80" w:rsidRDefault="004C3EFF" w:rsidP="005B2DF9">
            <w:pPr>
              <w:widowControl/>
              <w:rPr>
                <w:rFonts w:asciiTheme="majorBidi" w:hAnsiTheme="majorBidi" w:cstheme="majorBidi"/>
                <w:b/>
                <w:bCs/>
                <w:snapToGrid/>
                <w:color w:val="000000"/>
                <w:sz w:val="22"/>
                <w:szCs w:val="22"/>
                <w:lang w:val="en-GB" w:eastAsia="tr-TR"/>
              </w:rPr>
            </w:pPr>
            <w:r w:rsidRPr="00D00D80">
              <w:rPr>
                <w:rFonts w:asciiTheme="majorBidi" w:hAnsiTheme="majorBidi" w:cstheme="majorBidi"/>
                <w:b/>
                <w:bCs/>
                <w:snapToGrid/>
                <w:color w:val="000000"/>
                <w:sz w:val="22"/>
                <w:szCs w:val="22"/>
                <w:lang w:val="en-GB" w:eastAsia="tr-TR"/>
              </w:rPr>
              <w:t>1</w:t>
            </w:r>
          </w:p>
        </w:tc>
        <w:tc>
          <w:tcPr>
            <w:tcW w:w="3476" w:type="dxa"/>
            <w:hideMark/>
          </w:tcPr>
          <w:p w:rsidR="004C3EFF" w:rsidRPr="00D00D80" w:rsidRDefault="004C3EFF" w:rsidP="005B2DF9">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snapToGrid/>
                <w:color w:val="000000"/>
                <w:sz w:val="22"/>
                <w:szCs w:val="22"/>
                <w:lang w:val="en-GB" w:eastAsia="tr-TR"/>
              </w:rPr>
              <w:t xml:space="preserve">Review the </w:t>
            </w:r>
            <w:r w:rsidRPr="00D00D80">
              <w:rPr>
                <w:rFonts w:asciiTheme="majorBidi" w:hAnsiTheme="majorBidi" w:cstheme="majorBidi"/>
                <w:bCs/>
                <w:snapToGrid/>
                <w:color w:val="000000"/>
                <w:sz w:val="22"/>
                <w:szCs w:val="22"/>
                <w:lang w:val="en-GB" w:eastAsia="tr-TR"/>
              </w:rPr>
              <w:t>Guidelines on Gender Equality Sensitive School Standards</w:t>
            </w:r>
            <w:r w:rsidRPr="00D00D80">
              <w:rPr>
                <w:rFonts w:asciiTheme="majorBidi" w:hAnsiTheme="majorBidi" w:cstheme="majorBidi"/>
                <w:snapToGrid/>
                <w:color w:val="000000"/>
                <w:sz w:val="22"/>
                <w:szCs w:val="22"/>
                <w:lang w:val="en-GB" w:eastAsia="tr-TR"/>
              </w:rPr>
              <w:t xml:space="preserve"> and its attachments and prepar</w:t>
            </w:r>
            <w:r w:rsidR="00387872" w:rsidRPr="00D00D80">
              <w:rPr>
                <w:rFonts w:asciiTheme="majorBidi" w:hAnsiTheme="majorBidi" w:cstheme="majorBidi"/>
                <w:snapToGrid/>
                <w:color w:val="000000"/>
                <w:sz w:val="22"/>
                <w:szCs w:val="22"/>
                <w:lang w:val="en-GB" w:eastAsia="tr-TR"/>
              </w:rPr>
              <w:t xml:space="preserve">e a report including </w:t>
            </w:r>
            <w:r w:rsidRPr="00D00D80">
              <w:rPr>
                <w:rFonts w:asciiTheme="majorBidi" w:hAnsiTheme="majorBidi" w:cstheme="majorBidi"/>
                <w:snapToGrid/>
                <w:color w:val="000000"/>
                <w:sz w:val="22"/>
                <w:szCs w:val="22"/>
                <w:lang w:val="en-GB" w:eastAsia="tr-TR"/>
              </w:rPr>
              <w:t>be</w:t>
            </w:r>
            <w:r w:rsidR="00FE5612" w:rsidRPr="00D00D80">
              <w:rPr>
                <w:rFonts w:asciiTheme="majorBidi" w:hAnsiTheme="majorBidi" w:cstheme="majorBidi"/>
                <w:snapToGrid/>
                <w:color w:val="000000"/>
                <w:sz w:val="22"/>
                <w:szCs w:val="22"/>
                <w:lang w:val="en-GB" w:eastAsia="tr-TR"/>
              </w:rPr>
              <w:t>st practices in other countries</w:t>
            </w:r>
            <w:r w:rsidR="00F91B82" w:rsidRPr="00D00D80">
              <w:rPr>
                <w:rFonts w:asciiTheme="majorBidi" w:hAnsiTheme="majorBidi" w:cstheme="majorBidi"/>
                <w:snapToGrid/>
                <w:color w:val="000000"/>
                <w:sz w:val="22"/>
                <w:szCs w:val="22"/>
                <w:lang w:val="en-GB" w:eastAsia="tr-TR"/>
              </w:rPr>
              <w:t>.</w:t>
            </w:r>
          </w:p>
        </w:tc>
        <w:tc>
          <w:tcPr>
            <w:tcW w:w="2682" w:type="dxa"/>
            <w:noWrap/>
            <w:hideMark/>
          </w:tcPr>
          <w:p w:rsidR="004C3EFF" w:rsidRPr="00D00D80" w:rsidRDefault="004C3EFF" w:rsidP="005B2DF9">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snapToGrid/>
                <w:color w:val="000000"/>
                <w:sz w:val="22"/>
                <w:szCs w:val="22"/>
                <w:lang w:val="en-GB" w:eastAsia="tr-TR"/>
              </w:rPr>
              <w:t>1. Review report</w:t>
            </w:r>
          </w:p>
        </w:tc>
        <w:tc>
          <w:tcPr>
            <w:tcW w:w="1213" w:type="dxa"/>
            <w:noWrap/>
            <w:hideMark/>
          </w:tcPr>
          <w:p w:rsidR="004C3EFF" w:rsidRPr="00D00D80" w:rsidRDefault="004C3EFF" w:rsidP="005B2DF9">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snapToGrid/>
                <w:color w:val="000000"/>
                <w:sz w:val="22"/>
                <w:szCs w:val="22"/>
                <w:lang w:val="en-GB" w:eastAsia="tr-TR"/>
              </w:rPr>
              <w:t>ENG</w:t>
            </w:r>
          </w:p>
        </w:tc>
        <w:tc>
          <w:tcPr>
            <w:tcW w:w="1203" w:type="dxa"/>
            <w:noWrap/>
            <w:hideMark/>
          </w:tcPr>
          <w:p w:rsidR="004C3EFF" w:rsidRPr="00D00D80" w:rsidRDefault="00980F4A" w:rsidP="005B2DF9">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snapToGrid/>
                <w:color w:val="000000"/>
                <w:sz w:val="22"/>
                <w:szCs w:val="22"/>
                <w:lang w:val="en-GB" w:eastAsia="tr-TR"/>
              </w:rPr>
              <w:t>June</w:t>
            </w:r>
            <w:r w:rsidR="0041163C" w:rsidRPr="00D00D80">
              <w:rPr>
                <w:rFonts w:asciiTheme="majorBidi" w:hAnsiTheme="majorBidi" w:cstheme="majorBidi"/>
                <w:snapToGrid/>
                <w:color w:val="000000"/>
                <w:sz w:val="22"/>
                <w:szCs w:val="22"/>
                <w:lang w:val="en-GB" w:eastAsia="tr-TR"/>
              </w:rPr>
              <w:t xml:space="preserve">, </w:t>
            </w:r>
            <w:r w:rsidR="004C3EFF" w:rsidRPr="00D00D80">
              <w:rPr>
                <w:rFonts w:asciiTheme="majorBidi" w:hAnsiTheme="majorBidi" w:cstheme="majorBidi"/>
                <w:snapToGrid/>
                <w:color w:val="000000"/>
                <w:sz w:val="22"/>
                <w:szCs w:val="22"/>
                <w:lang w:val="en-GB" w:eastAsia="tr-TR"/>
              </w:rPr>
              <w:t>2017</w:t>
            </w:r>
          </w:p>
        </w:tc>
      </w:tr>
      <w:tr w:rsidR="009E29CE" w:rsidRPr="00D00D80" w:rsidTr="006709F0">
        <w:trPr>
          <w:trHeight w:val="1722"/>
        </w:trPr>
        <w:tc>
          <w:tcPr>
            <w:tcW w:w="361" w:type="dxa"/>
            <w:noWrap/>
            <w:hideMark/>
          </w:tcPr>
          <w:p w:rsidR="004C3EFF" w:rsidRPr="00D00D80" w:rsidRDefault="007A1D10" w:rsidP="005B2DF9">
            <w:pPr>
              <w:widowControl/>
              <w:rPr>
                <w:rFonts w:asciiTheme="majorBidi" w:hAnsiTheme="majorBidi" w:cstheme="majorBidi"/>
                <w:b/>
                <w:bCs/>
                <w:snapToGrid/>
                <w:color w:val="000000"/>
                <w:sz w:val="22"/>
                <w:szCs w:val="22"/>
                <w:lang w:val="en-GB" w:eastAsia="tr-TR"/>
              </w:rPr>
            </w:pPr>
            <w:r w:rsidRPr="00D00D80">
              <w:rPr>
                <w:rFonts w:asciiTheme="majorBidi" w:hAnsiTheme="majorBidi" w:cstheme="majorBidi"/>
                <w:b/>
                <w:bCs/>
                <w:snapToGrid/>
                <w:color w:val="000000"/>
                <w:sz w:val="22"/>
                <w:szCs w:val="22"/>
                <w:lang w:val="en-GB" w:eastAsia="tr-TR"/>
              </w:rPr>
              <w:t>2</w:t>
            </w:r>
          </w:p>
        </w:tc>
        <w:tc>
          <w:tcPr>
            <w:tcW w:w="3476" w:type="dxa"/>
            <w:hideMark/>
          </w:tcPr>
          <w:p w:rsidR="00FE5612" w:rsidRPr="00D00D80" w:rsidRDefault="007A1D10" w:rsidP="005B2DF9">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snapToGrid/>
                <w:color w:val="000000"/>
                <w:sz w:val="22"/>
                <w:szCs w:val="22"/>
                <w:lang w:val="en-GB" w:eastAsia="tr-TR"/>
              </w:rPr>
              <w:t>2</w:t>
            </w:r>
            <w:r w:rsidR="004C3EFF" w:rsidRPr="00D00D80">
              <w:rPr>
                <w:rFonts w:asciiTheme="majorBidi" w:hAnsiTheme="majorBidi" w:cstheme="majorBidi"/>
                <w:snapToGrid/>
                <w:color w:val="000000"/>
                <w:sz w:val="22"/>
                <w:szCs w:val="22"/>
                <w:lang w:val="en-GB" w:eastAsia="tr-TR"/>
              </w:rPr>
              <w:t xml:space="preserve">.1 </w:t>
            </w:r>
            <w:r w:rsidR="000B14F6" w:rsidRPr="00D00D80">
              <w:rPr>
                <w:rFonts w:asciiTheme="majorBidi" w:hAnsiTheme="majorBidi" w:cstheme="majorBidi"/>
                <w:snapToGrid/>
                <w:color w:val="000000"/>
                <w:sz w:val="22"/>
                <w:szCs w:val="22"/>
                <w:lang w:val="en-GB" w:eastAsia="tr-TR"/>
              </w:rPr>
              <w:t>Participate in the</w:t>
            </w:r>
            <w:r w:rsidR="004C3EFF" w:rsidRPr="00D00D80">
              <w:rPr>
                <w:rFonts w:asciiTheme="majorBidi" w:hAnsiTheme="majorBidi" w:cstheme="majorBidi"/>
                <w:snapToGrid/>
                <w:color w:val="000000"/>
                <w:sz w:val="22"/>
                <w:szCs w:val="22"/>
                <w:lang w:val="en-GB" w:eastAsia="tr-TR"/>
              </w:rPr>
              <w:t xml:space="preserve"> 3 site visits to the pilot schools where the imple</w:t>
            </w:r>
            <w:r w:rsidR="00FE453C" w:rsidRPr="00D00D80">
              <w:rPr>
                <w:rFonts w:asciiTheme="majorBidi" w:hAnsiTheme="majorBidi" w:cstheme="majorBidi"/>
                <w:snapToGrid/>
                <w:color w:val="000000"/>
                <w:sz w:val="22"/>
                <w:szCs w:val="22"/>
                <w:lang w:val="en-GB" w:eastAsia="tr-TR"/>
              </w:rPr>
              <w:t xml:space="preserve">mentation </w:t>
            </w:r>
            <w:r w:rsidR="00700AFF" w:rsidRPr="00D00D80">
              <w:rPr>
                <w:rFonts w:asciiTheme="majorBidi" w:hAnsiTheme="majorBidi" w:cstheme="majorBidi"/>
                <w:snapToGrid/>
                <w:color w:val="000000"/>
                <w:sz w:val="22"/>
                <w:szCs w:val="22"/>
                <w:lang w:val="en-GB" w:eastAsia="tr-TR"/>
              </w:rPr>
              <w:t>will take</w:t>
            </w:r>
            <w:r w:rsidR="00FE453C" w:rsidRPr="00D00D80">
              <w:rPr>
                <w:rFonts w:asciiTheme="majorBidi" w:hAnsiTheme="majorBidi" w:cstheme="majorBidi"/>
                <w:snapToGrid/>
                <w:color w:val="000000"/>
                <w:sz w:val="22"/>
                <w:szCs w:val="22"/>
                <w:lang w:val="en-GB" w:eastAsia="tr-TR"/>
              </w:rPr>
              <w:t xml:space="preserve"> place.</w:t>
            </w:r>
          </w:p>
          <w:p w:rsidR="00FE453C" w:rsidRPr="00D00D80" w:rsidRDefault="00FE453C" w:rsidP="005B2DF9">
            <w:pPr>
              <w:widowControl/>
              <w:rPr>
                <w:rFonts w:asciiTheme="majorBidi" w:hAnsiTheme="majorBidi" w:cstheme="majorBidi"/>
                <w:snapToGrid/>
                <w:color w:val="000000"/>
                <w:sz w:val="22"/>
                <w:szCs w:val="22"/>
                <w:lang w:val="en-GB" w:eastAsia="tr-TR"/>
              </w:rPr>
            </w:pPr>
          </w:p>
          <w:p w:rsidR="004C3EFF" w:rsidRPr="00D00D80" w:rsidRDefault="007A1D10" w:rsidP="000B14F6">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snapToGrid/>
                <w:color w:val="000000"/>
                <w:sz w:val="22"/>
                <w:szCs w:val="22"/>
                <w:lang w:val="en-GB" w:eastAsia="tr-TR"/>
              </w:rPr>
              <w:t>2</w:t>
            </w:r>
            <w:r w:rsidR="004C3EFF" w:rsidRPr="00D00D80">
              <w:rPr>
                <w:rFonts w:asciiTheme="majorBidi" w:hAnsiTheme="majorBidi" w:cstheme="majorBidi"/>
                <w:snapToGrid/>
                <w:color w:val="000000"/>
                <w:sz w:val="22"/>
                <w:szCs w:val="22"/>
                <w:lang w:val="en-GB" w:eastAsia="tr-TR"/>
              </w:rPr>
              <w:t xml:space="preserve">.2 </w:t>
            </w:r>
            <w:r w:rsidR="00B26B6F" w:rsidRPr="00D00D80">
              <w:rPr>
                <w:color w:val="000000"/>
                <w:sz w:val="22"/>
                <w:szCs w:val="22"/>
                <w:lang w:val="en-GB"/>
              </w:rPr>
              <w:t xml:space="preserve">In each of these site visits </w:t>
            </w:r>
            <w:r w:rsidR="000B14F6" w:rsidRPr="00D00D80">
              <w:rPr>
                <w:color w:val="000000"/>
                <w:sz w:val="22"/>
                <w:szCs w:val="22"/>
                <w:lang w:val="en-GB"/>
              </w:rPr>
              <w:t xml:space="preserve">together with the national team of consultants, </w:t>
            </w:r>
            <w:r w:rsidR="00B26B6F" w:rsidRPr="00D00D80">
              <w:rPr>
                <w:rFonts w:asciiTheme="majorBidi" w:hAnsiTheme="majorBidi" w:cstheme="majorBidi"/>
                <w:snapToGrid/>
                <w:color w:val="000000"/>
                <w:sz w:val="22"/>
                <w:szCs w:val="22"/>
                <w:lang w:val="en-GB" w:eastAsia="tr-TR"/>
              </w:rPr>
              <w:t>c</w:t>
            </w:r>
            <w:r w:rsidR="00FE5612" w:rsidRPr="00D00D80">
              <w:rPr>
                <w:rFonts w:asciiTheme="majorBidi" w:hAnsiTheme="majorBidi" w:cstheme="majorBidi"/>
                <w:snapToGrid/>
                <w:color w:val="000000"/>
                <w:sz w:val="22"/>
                <w:szCs w:val="22"/>
                <w:lang w:val="en-GB" w:eastAsia="tr-TR"/>
              </w:rPr>
              <w:t>onduct</w:t>
            </w:r>
            <w:r w:rsidR="004C3EFF" w:rsidRPr="00D00D80">
              <w:rPr>
                <w:rFonts w:asciiTheme="majorBidi" w:hAnsiTheme="majorBidi" w:cstheme="majorBidi"/>
                <w:snapToGrid/>
                <w:color w:val="000000"/>
                <w:sz w:val="22"/>
                <w:szCs w:val="22"/>
                <w:lang w:val="en-GB" w:eastAsia="tr-TR"/>
              </w:rPr>
              <w:t xml:space="preserve"> interviews with at least 4 students, 2 teachers, 2 school principals and 2 managers of provincial directorate</w:t>
            </w:r>
            <w:r w:rsidR="00700AFF" w:rsidRPr="00D00D80">
              <w:rPr>
                <w:rFonts w:asciiTheme="majorBidi" w:hAnsiTheme="majorBidi" w:cstheme="majorBidi"/>
                <w:snapToGrid/>
                <w:color w:val="000000"/>
                <w:sz w:val="22"/>
                <w:szCs w:val="22"/>
                <w:lang w:val="en-GB" w:eastAsia="tr-TR"/>
              </w:rPr>
              <w:t>s</w:t>
            </w:r>
            <w:r w:rsidR="004C3EFF" w:rsidRPr="00D00D80">
              <w:rPr>
                <w:rFonts w:asciiTheme="majorBidi" w:hAnsiTheme="majorBidi" w:cstheme="majorBidi"/>
                <w:snapToGrid/>
                <w:color w:val="000000"/>
                <w:sz w:val="22"/>
                <w:szCs w:val="22"/>
                <w:lang w:val="en-GB" w:eastAsia="tr-TR"/>
              </w:rPr>
              <w:t xml:space="preserve"> of education.</w:t>
            </w:r>
          </w:p>
        </w:tc>
        <w:tc>
          <w:tcPr>
            <w:tcW w:w="2682" w:type="dxa"/>
            <w:noWrap/>
            <w:hideMark/>
          </w:tcPr>
          <w:p w:rsidR="004C3EFF" w:rsidRPr="00D00D80" w:rsidRDefault="004C3EFF" w:rsidP="005B2DF9">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snapToGrid/>
                <w:color w:val="000000"/>
                <w:sz w:val="22"/>
                <w:szCs w:val="22"/>
                <w:lang w:val="en-GB" w:eastAsia="tr-TR"/>
              </w:rPr>
              <w:t>1. Site visits reports</w:t>
            </w:r>
          </w:p>
        </w:tc>
        <w:tc>
          <w:tcPr>
            <w:tcW w:w="1213" w:type="dxa"/>
            <w:noWrap/>
            <w:hideMark/>
          </w:tcPr>
          <w:p w:rsidR="004C3EFF" w:rsidRPr="00D00D80" w:rsidRDefault="004C3EFF" w:rsidP="005B2DF9">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snapToGrid/>
                <w:color w:val="000000"/>
                <w:sz w:val="22"/>
                <w:szCs w:val="22"/>
                <w:lang w:val="en-GB" w:eastAsia="tr-TR"/>
              </w:rPr>
              <w:t>ENG</w:t>
            </w:r>
          </w:p>
        </w:tc>
        <w:tc>
          <w:tcPr>
            <w:tcW w:w="1203" w:type="dxa"/>
            <w:noWrap/>
            <w:hideMark/>
          </w:tcPr>
          <w:p w:rsidR="004C3EFF" w:rsidRPr="00D00D80" w:rsidRDefault="0041163C" w:rsidP="005B2DF9">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snapToGrid/>
                <w:color w:val="000000"/>
                <w:sz w:val="22"/>
                <w:szCs w:val="22"/>
                <w:lang w:val="en-GB" w:eastAsia="tr-TR"/>
              </w:rPr>
              <w:t xml:space="preserve">February-April, </w:t>
            </w:r>
            <w:r w:rsidR="004C3EFF" w:rsidRPr="00D00D80">
              <w:rPr>
                <w:rFonts w:asciiTheme="majorBidi" w:hAnsiTheme="majorBidi" w:cstheme="majorBidi"/>
                <w:snapToGrid/>
                <w:color w:val="000000"/>
                <w:sz w:val="22"/>
                <w:szCs w:val="22"/>
                <w:lang w:val="en-GB" w:eastAsia="tr-TR"/>
              </w:rPr>
              <w:t>2018</w:t>
            </w:r>
          </w:p>
        </w:tc>
      </w:tr>
      <w:tr w:rsidR="009E29CE" w:rsidRPr="00D00D80" w:rsidTr="007A1D10">
        <w:trPr>
          <w:trHeight w:val="1144"/>
        </w:trPr>
        <w:tc>
          <w:tcPr>
            <w:tcW w:w="361" w:type="dxa"/>
            <w:noWrap/>
          </w:tcPr>
          <w:p w:rsidR="0041163C" w:rsidRPr="00D00D80" w:rsidRDefault="007A1D10" w:rsidP="005B2DF9">
            <w:pPr>
              <w:widowControl/>
              <w:rPr>
                <w:rFonts w:asciiTheme="majorBidi" w:hAnsiTheme="majorBidi" w:cstheme="majorBidi"/>
                <w:b/>
                <w:bCs/>
                <w:snapToGrid/>
                <w:color w:val="000000"/>
                <w:sz w:val="22"/>
                <w:szCs w:val="22"/>
                <w:lang w:val="en-GB" w:eastAsia="tr-TR"/>
              </w:rPr>
            </w:pPr>
            <w:r w:rsidRPr="00D00D80">
              <w:rPr>
                <w:rFonts w:asciiTheme="majorBidi" w:hAnsiTheme="majorBidi" w:cstheme="majorBidi"/>
                <w:b/>
                <w:bCs/>
                <w:color w:val="000000"/>
                <w:sz w:val="22"/>
                <w:szCs w:val="22"/>
                <w:lang w:val="en-GB" w:eastAsia="tr-TR"/>
              </w:rPr>
              <w:t>3</w:t>
            </w:r>
          </w:p>
        </w:tc>
        <w:tc>
          <w:tcPr>
            <w:tcW w:w="3476" w:type="dxa"/>
          </w:tcPr>
          <w:p w:rsidR="00FE453C" w:rsidRPr="00D00D80" w:rsidRDefault="007A1D10" w:rsidP="005B2DF9">
            <w:pPr>
              <w:widowControl/>
              <w:rPr>
                <w:rFonts w:asciiTheme="majorBidi" w:hAnsiTheme="majorBidi" w:cstheme="majorBidi"/>
                <w:color w:val="000000"/>
                <w:sz w:val="22"/>
                <w:szCs w:val="22"/>
                <w:lang w:val="en-GB" w:eastAsia="tr-TR"/>
              </w:rPr>
            </w:pPr>
            <w:r w:rsidRPr="00D00D80">
              <w:rPr>
                <w:rFonts w:asciiTheme="majorBidi" w:hAnsiTheme="majorBidi" w:cstheme="majorBidi"/>
                <w:color w:val="000000"/>
                <w:sz w:val="22"/>
                <w:szCs w:val="22"/>
                <w:lang w:val="en-GB" w:eastAsia="tr-TR"/>
              </w:rPr>
              <w:t>3</w:t>
            </w:r>
            <w:r w:rsidR="0041163C" w:rsidRPr="00D00D80">
              <w:rPr>
                <w:rFonts w:asciiTheme="majorBidi" w:hAnsiTheme="majorBidi" w:cstheme="majorBidi"/>
                <w:color w:val="000000"/>
                <w:sz w:val="22"/>
                <w:szCs w:val="22"/>
                <w:lang w:val="en-GB" w:eastAsia="tr-TR"/>
              </w:rPr>
              <w:t>.1 Mak</w:t>
            </w:r>
            <w:r w:rsidR="005F7BA1" w:rsidRPr="00D00D80">
              <w:rPr>
                <w:rFonts w:asciiTheme="majorBidi" w:hAnsiTheme="majorBidi" w:cstheme="majorBidi"/>
                <w:color w:val="000000"/>
                <w:sz w:val="22"/>
                <w:szCs w:val="22"/>
                <w:lang w:val="en-GB" w:eastAsia="tr-TR"/>
              </w:rPr>
              <w:t>e a presentation about the work</w:t>
            </w:r>
            <w:r w:rsidR="0041163C" w:rsidRPr="00D00D80">
              <w:rPr>
                <w:rFonts w:asciiTheme="majorBidi" w:hAnsiTheme="majorBidi" w:cstheme="majorBidi"/>
                <w:color w:val="000000"/>
                <w:sz w:val="22"/>
                <w:szCs w:val="22"/>
                <w:lang w:val="en-GB" w:eastAsia="tr-TR"/>
              </w:rPr>
              <w:t xml:space="preserve"> done during the project in</w:t>
            </w:r>
            <w:r w:rsidR="005F7BA1" w:rsidRPr="00D00D80">
              <w:rPr>
                <w:rFonts w:asciiTheme="majorBidi" w:hAnsiTheme="majorBidi" w:cstheme="majorBidi"/>
                <w:color w:val="000000"/>
                <w:sz w:val="22"/>
                <w:szCs w:val="22"/>
                <w:lang w:val="en-GB" w:eastAsia="tr-TR"/>
              </w:rPr>
              <w:t xml:space="preserve"> the</w:t>
            </w:r>
            <w:r w:rsidR="0041163C" w:rsidRPr="00D00D80">
              <w:rPr>
                <w:rFonts w:asciiTheme="majorBidi" w:hAnsiTheme="majorBidi" w:cstheme="majorBidi"/>
                <w:color w:val="000000"/>
                <w:sz w:val="22"/>
                <w:szCs w:val="22"/>
                <w:lang w:val="en-GB" w:eastAsia="tr-TR"/>
              </w:rPr>
              <w:t xml:space="preserve"> evaluation meeting.</w:t>
            </w:r>
          </w:p>
          <w:p w:rsidR="0041163C" w:rsidRPr="00D00D80" w:rsidRDefault="0041163C" w:rsidP="007A1D10">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color w:val="000000"/>
                <w:sz w:val="22"/>
                <w:szCs w:val="22"/>
                <w:lang w:val="en-GB" w:eastAsia="tr-TR"/>
              </w:rPr>
              <w:br/>
            </w:r>
            <w:r w:rsidR="007A1D10" w:rsidRPr="00D00D80">
              <w:rPr>
                <w:rFonts w:asciiTheme="majorBidi" w:hAnsiTheme="majorBidi" w:cstheme="majorBidi"/>
                <w:color w:val="000000"/>
                <w:sz w:val="22"/>
                <w:szCs w:val="22"/>
                <w:lang w:val="en-GB" w:eastAsia="tr-TR"/>
              </w:rPr>
              <w:t>3</w:t>
            </w:r>
            <w:r w:rsidRPr="00D00D80">
              <w:rPr>
                <w:rFonts w:asciiTheme="majorBidi" w:hAnsiTheme="majorBidi" w:cstheme="majorBidi"/>
                <w:color w:val="000000"/>
                <w:sz w:val="22"/>
                <w:szCs w:val="22"/>
                <w:lang w:val="en-GB" w:eastAsia="tr-TR"/>
              </w:rPr>
              <w:t xml:space="preserve">.2 Participate </w:t>
            </w:r>
            <w:r w:rsidR="005F7BA1" w:rsidRPr="00D00D80">
              <w:rPr>
                <w:rFonts w:asciiTheme="majorBidi" w:hAnsiTheme="majorBidi" w:cstheme="majorBidi"/>
                <w:color w:val="000000"/>
                <w:sz w:val="22"/>
                <w:szCs w:val="22"/>
                <w:lang w:val="en-GB" w:eastAsia="tr-TR"/>
              </w:rPr>
              <w:t>in the</w:t>
            </w:r>
            <w:r w:rsidRPr="00D00D80">
              <w:rPr>
                <w:rFonts w:asciiTheme="majorBidi" w:hAnsiTheme="majorBidi" w:cstheme="majorBidi"/>
                <w:color w:val="000000"/>
                <w:sz w:val="22"/>
                <w:szCs w:val="22"/>
                <w:lang w:val="en-GB" w:eastAsia="tr-TR"/>
              </w:rPr>
              <w:t xml:space="preserve"> evaluation meeting for 3 days.</w:t>
            </w:r>
          </w:p>
        </w:tc>
        <w:tc>
          <w:tcPr>
            <w:tcW w:w="2682" w:type="dxa"/>
            <w:noWrap/>
          </w:tcPr>
          <w:p w:rsidR="0041163C" w:rsidRPr="00D00D80" w:rsidRDefault="0041163C" w:rsidP="005B2DF9">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color w:val="000000"/>
                <w:sz w:val="22"/>
                <w:szCs w:val="22"/>
                <w:lang w:val="en-GB" w:eastAsia="tr-TR"/>
              </w:rPr>
              <w:t>1. Presentation</w:t>
            </w:r>
            <w:r w:rsidRPr="00D00D80">
              <w:rPr>
                <w:rFonts w:asciiTheme="majorBidi" w:hAnsiTheme="majorBidi" w:cstheme="majorBidi"/>
                <w:color w:val="000000"/>
                <w:sz w:val="22"/>
                <w:szCs w:val="22"/>
                <w:lang w:val="en-GB" w:eastAsia="tr-TR"/>
              </w:rPr>
              <w:br/>
              <w:t>2. Evaluation meeting report</w:t>
            </w:r>
          </w:p>
        </w:tc>
        <w:tc>
          <w:tcPr>
            <w:tcW w:w="1213" w:type="dxa"/>
            <w:noWrap/>
          </w:tcPr>
          <w:p w:rsidR="0041163C" w:rsidRPr="00D00D80" w:rsidRDefault="0041163C" w:rsidP="005B2DF9">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color w:val="000000"/>
                <w:sz w:val="22"/>
                <w:szCs w:val="22"/>
                <w:lang w:val="en-GB" w:eastAsia="tr-TR"/>
              </w:rPr>
              <w:t>ENG</w:t>
            </w:r>
          </w:p>
        </w:tc>
        <w:tc>
          <w:tcPr>
            <w:tcW w:w="1203" w:type="dxa"/>
            <w:noWrap/>
          </w:tcPr>
          <w:p w:rsidR="0041163C" w:rsidRPr="00D00D80" w:rsidRDefault="0041163C" w:rsidP="005B2DF9">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color w:val="000000"/>
                <w:sz w:val="22"/>
                <w:szCs w:val="22"/>
                <w:lang w:val="en-GB" w:eastAsia="tr-TR"/>
              </w:rPr>
              <w:t>May, 2018</w:t>
            </w:r>
          </w:p>
        </w:tc>
      </w:tr>
      <w:tr w:rsidR="009E29CE" w:rsidRPr="00D00D80" w:rsidTr="007A1D10">
        <w:trPr>
          <w:trHeight w:val="639"/>
        </w:trPr>
        <w:tc>
          <w:tcPr>
            <w:tcW w:w="361" w:type="dxa"/>
            <w:noWrap/>
          </w:tcPr>
          <w:p w:rsidR="0041163C" w:rsidRPr="00D00D80" w:rsidRDefault="007A1D10" w:rsidP="005B2DF9">
            <w:pPr>
              <w:widowControl/>
              <w:rPr>
                <w:rFonts w:asciiTheme="majorBidi" w:hAnsiTheme="majorBidi" w:cstheme="majorBidi"/>
                <w:b/>
                <w:bCs/>
                <w:snapToGrid/>
                <w:color w:val="000000"/>
                <w:sz w:val="22"/>
                <w:szCs w:val="22"/>
                <w:lang w:val="en-GB" w:eastAsia="tr-TR"/>
              </w:rPr>
            </w:pPr>
            <w:r w:rsidRPr="00D00D80">
              <w:rPr>
                <w:rFonts w:asciiTheme="majorBidi" w:hAnsiTheme="majorBidi" w:cstheme="majorBidi"/>
                <w:b/>
                <w:bCs/>
                <w:color w:val="000000"/>
                <w:sz w:val="22"/>
                <w:szCs w:val="22"/>
                <w:lang w:val="en-GB" w:eastAsia="tr-TR"/>
              </w:rPr>
              <w:t>4</w:t>
            </w:r>
          </w:p>
        </w:tc>
        <w:tc>
          <w:tcPr>
            <w:tcW w:w="3476" w:type="dxa"/>
          </w:tcPr>
          <w:p w:rsidR="0041163C" w:rsidRPr="00D00D80" w:rsidRDefault="0041163C" w:rsidP="005B2DF9">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color w:val="000000"/>
                <w:sz w:val="22"/>
                <w:szCs w:val="22"/>
                <w:lang w:val="en-GB" w:eastAsia="tr-TR"/>
              </w:rPr>
              <w:t xml:space="preserve">Prepare a recommendation list for the revision and finalize the Gender Sensitive School </w:t>
            </w:r>
            <w:r w:rsidR="005F7BA1" w:rsidRPr="00D00D80">
              <w:rPr>
                <w:rFonts w:asciiTheme="majorBidi" w:hAnsiTheme="majorBidi" w:cstheme="majorBidi"/>
                <w:color w:val="000000"/>
                <w:sz w:val="22"/>
                <w:szCs w:val="22"/>
                <w:lang w:val="en-GB" w:eastAsia="tr-TR"/>
              </w:rPr>
              <w:t>Standards</w:t>
            </w:r>
            <w:r w:rsidRPr="00D00D80">
              <w:rPr>
                <w:rFonts w:asciiTheme="majorBidi" w:hAnsiTheme="majorBidi" w:cstheme="majorBidi"/>
                <w:color w:val="000000"/>
                <w:sz w:val="22"/>
                <w:szCs w:val="22"/>
                <w:lang w:val="en-GB" w:eastAsia="tr-TR"/>
              </w:rPr>
              <w:t xml:space="preserve"> </w:t>
            </w:r>
          </w:p>
        </w:tc>
        <w:tc>
          <w:tcPr>
            <w:tcW w:w="2682" w:type="dxa"/>
            <w:noWrap/>
          </w:tcPr>
          <w:p w:rsidR="0041163C" w:rsidRPr="00D00D80" w:rsidRDefault="0041163C" w:rsidP="005B2DF9">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color w:val="000000"/>
                <w:sz w:val="22"/>
                <w:szCs w:val="22"/>
                <w:lang w:val="en-GB" w:eastAsia="tr-TR"/>
              </w:rPr>
              <w:t>1. Recommendation list</w:t>
            </w:r>
            <w:r w:rsidRPr="00D00D80">
              <w:rPr>
                <w:rFonts w:asciiTheme="majorBidi" w:hAnsiTheme="majorBidi" w:cstheme="majorBidi"/>
                <w:color w:val="000000"/>
                <w:sz w:val="22"/>
                <w:szCs w:val="22"/>
                <w:lang w:val="en-GB" w:eastAsia="tr-TR"/>
              </w:rPr>
              <w:br/>
              <w:t xml:space="preserve">2. Finalised </w:t>
            </w:r>
            <w:r w:rsidR="004636E3" w:rsidRPr="00D00D80">
              <w:rPr>
                <w:rFonts w:asciiTheme="majorBidi" w:hAnsiTheme="majorBidi" w:cstheme="majorBidi"/>
                <w:color w:val="000000"/>
                <w:sz w:val="22"/>
                <w:szCs w:val="22"/>
                <w:lang w:val="en-GB" w:eastAsia="tr-TR"/>
              </w:rPr>
              <w:t>Gender Sensitive School S</w:t>
            </w:r>
            <w:r w:rsidRPr="00D00D80">
              <w:rPr>
                <w:rFonts w:asciiTheme="majorBidi" w:hAnsiTheme="majorBidi" w:cstheme="majorBidi"/>
                <w:color w:val="000000"/>
                <w:sz w:val="22"/>
                <w:szCs w:val="22"/>
                <w:lang w:val="en-GB" w:eastAsia="tr-TR"/>
              </w:rPr>
              <w:t>tandards</w:t>
            </w:r>
          </w:p>
        </w:tc>
        <w:tc>
          <w:tcPr>
            <w:tcW w:w="1213" w:type="dxa"/>
            <w:noWrap/>
          </w:tcPr>
          <w:p w:rsidR="0041163C" w:rsidRPr="00D00D80" w:rsidRDefault="0041163C" w:rsidP="005B2DF9">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color w:val="000000"/>
                <w:sz w:val="22"/>
                <w:szCs w:val="22"/>
                <w:lang w:val="en-GB" w:eastAsia="tr-TR"/>
              </w:rPr>
              <w:t>ENG</w:t>
            </w:r>
          </w:p>
        </w:tc>
        <w:tc>
          <w:tcPr>
            <w:tcW w:w="1203" w:type="dxa"/>
            <w:noWrap/>
          </w:tcPr>
          <w:p w:rsidR="0041163C" w:rsidRPr="00D00D80" w:rsidRDefault="0041163C" w:rsidP="005B2DF9">
            <w:pPr>
              <w:widowControl/>
              <w:rPr>
                <w:rFonts w:asciiTheme="majorBidi" w:hAnsiTheme="majorBidi" w:cstheme="majorBidi"/>
                <w:snapToGrid/>
                <w:color w:val="000000"/>
                <w:sz w:val="22"/>
                <w:szCs w:val="22"/>
                <w:lang w:val="en-GB" w:eastAsia="tr-TR"/>
              </w:rPr>
            </w:pPr>
            <w:r w:rsidRPr="00D00D80">
              <w:rPr>
                <w:rFonts w:asciiTheme="majorBidi" w:hAnsiTheme="majorBidi" w:cstheme="majorBidi"/>
                <w:color w:val="000000"/>
                <w:sz w:val="22"/>
                <w:szCs w:val="22"/>
                <w:lang w:val="en-GB" w:eastAsia="tr-TR"/>
              </w:rPr>
              <w:t>June, 2018</w:t>
            </w:r>
          </w:p>
        </w:tc>
      </w:tr>
    </w:tbl>
    <w:p w:rsidR="00FC04D4" w:rsidRDefault="00FC04D4" w:rsidP="005B2DF9">
      <w:pPr>
        <w:jc w:val="both"/>
        <w:rPr>
          <w:i/>
          <w:iCs/>
          <w:sz w:val="22"/>
          <w:szCs w:val="22"/>
          <w:lang w:val="en-GB"/>
        </w:rPr>
      </w:pPr>
    </w:p>
    <w:p w:rsidR="00524764" w:rsidRPr="00D00D80" w:rsidRDefault="00F23695" w:rsidP="005B2DF9">
      <w:pPr>
        <w:jc w:val="both"/>
        <w:rPr>
          <w:i/>
          <w:iCs/>
          <w:sz w:val="22"/>
          <w:szCs w:val="22"/>
          <w:lang w:val="en-GB"/>
        </w:rPr>
      </w:pPr>
      <w:r w:rsidRPr="00D00D80">
        <w:rPr>
          <w:i/>
          <w:iCs/>
          <w:sz w:val="22"/>
          <w:szCs w:val="22"/>
          <w:lang w:val="en-GB"/>
        </w:rPr>
        <w:t xml:space="preserve">*Please note that the deadlines in the above template are approximate. It is expected that the detailed time planning will be included in the technical proposal. </w:t>
      </w:r>
    </w:p>
    <w:p w:rsidR="00E61AF3" w:rsidRDefault="00E61AF3" w:rsidP="005B2DF9">
      <w:pPr>
        <w:ind w:firstLine="708"/>
        <w:jc w:val="both"/>
        <w:rPr>
          <w:i/>
          <w:iCs/>
          <w:sz w:val="22"/>
          <w:szCs w:val="22"/>
          <w:lang w:val="en-GB"/>
        </w:rPr>
      </w:pPr>
    </w:p>
    <w:p w:rsidR="00FC04D4" w:rsidRPr="00D00D80" w:rsidRDefault="00FC04D4" w:rsidP="005B2DF9">
      <w:pPr>
        <w:ind w:firstLine="708"/>
        <w:jc w:val="both"/>
        <w:rPr>
          <w:i/>
          <w:iCs/>
          <w:sz w:val="22"/>
          <w:szCs w:val="22"/>
          <w:lang w:val="en-GB"/>
        </w:rPr>
      </w:pPr>
    </w:p>
    <w:p w:rsidR="00B5012B" w:rsidRPr="00D00D80" w:rsidRDefault="004E72BB" w:rsidP="004E72BB">
      <w:pPr>
        <w:pBdr>
          <w:bottom w:val="single" w:sz="6" w:space="1" w:color="auto"/>
        </w:pBdr>
        <w:jc w:val="both"/>
        <w:rPr>
          <w:b/>
          <w:sz w:val="22"/>
          <w:szCs w:val="22"/>
          <w:lang w:val="en-GB"/>
        </w:rPr>
      </w:pPr>
      <w:r w:rsidRPr="00D00D80">
        <w:rPr>
          <w:b/>
          <w:bCs/>
          <w:sz w:val="22"/>
          <w:szCs w:val="22"/>
          <w:lang w:val="en-GB"/>
        </w:rPr>
        <w:t xml:space="preserve">VIII. </w:t>
      </w:r>
      <w:r w:rsidR="00B5012B" w:rsidRPr="00D00D80">
        <w:rPr>
          <w:b/>
          <w:bCs/>
          <w:sz w:val="22"/>
          <w:szCs w:val="22"/>
          <w:lang w:val="en-GB"/>
        </w:rPr>
        <w:t>QUALIFICATIONS and EXPERIENCE</w:t>
      </w:r>
    </w:p>
    <w:p w:rsidR="00524764" w:rsidRPr="00D00D80" w:rsidRDefault="00524764" w:rsidP="005B2DF9">
      <w:pPr>
        <w:rPr>
          <w:sz w:val="22"/>
          <w:szCs w:val="22"/>
          <w:lang w:val="en-GB"/>
        </w:rPr>
      </w:pPr>
    </w:p>
    <w:p w:rsidR="00524764" w:rsidRPr="00D00D80" w:rsidRDefault="00524764" w:rsidP="005B2DF9">
      <w:pPr>
        <w:jc w:val="both"/>
        <w:rPr>
          <w:sz w:val="22"/>
          <w:szCs w:val="22"/>
          <w:lang w:val="en-GB"/>
        </w:rPr>
      </w:pPr>
      <w:r w:rsidRPr="00D00D80">
        <w:rPr>
          <w:sz w:val="22"/>
          <w:szCs w:val="22"/>
          <w:lang w:val="en-GB"/>
        </w:rPr>
        <w:t xml:space="preserve">In order to achieve the objectives specified in these terms of reference, </w:t>
      </w:r>
      <w:r w:rsidR="00E51801" w:rsidRPr="00D00D80">
        <w:rPr>
          <w:sz w:val="22"/>
          <w:szCs w:val="22"/>
          <w:lang w:val="en-GB"/>
        </w:rPr>
        <w:t xml:space="preserve">the </w:t>
      </w:r>
      <w:r w:rsidRPr="00D00D80">
        <w:rPr>
          <w:sz w:val="22"/>
          <w:szCs w:val="22"/>
          <w:lang w:val="en-GB"/>
        </w:rPr>
        <w:t xml:space="preserve">consultant </w:t>
      </w:r>
      <w:r w:rsidR="00027BE9" w:rsidRPr="00D00D80">
        <w:rPr>
          <w:sz w:val="22"/>
          <w:szCs w:val="22"/>
          <w:lang w:val="en-GB"/>
        </w:rPr>
        <w:t>should have the following qualification</w:t>
      </w:r>
      <w:r w:rsidR="004636E3" w:rsidRPr="00D00D80">
        <w:rPr>
          <w:sz w:val="22"/>
          <w:szCs w:val="22"/>
          <w:lang w:val="en-GB"/>
        </w:rPr>
        <w:t>s</w:t>
      </w:r>
      <w:r w:rsidR="00027BE9" w:rsidRPr="00D00D80">
        <w:rPr>
          <w:sz w:val="22"/>
          <w:szCs w:val="22"/>
          <w:lang w:val="en-GB"/>
        </w:rPr>
        <w:t xml:space="preserve"> and experience:</w:t>
      </w:r>
    </w:p>
    <w:p w:rsidR="00D87361" w:rsidRPr="00D00D80" w:rsidRDefault="00D87361" w:rsidP="005B2DF9">
      <w:pPr>
        <w:jc w:val="both"/>
        <w:rPr>
          <w:sz w:val="22"/>
          <w:szCs w:val="22"/>
          <w:lang w:val="en-GB"/>
        </w:rPr>
      </w:pPr>
    </w:p>
    <w:p w:rsidR="00D87361" w:rsidRPr="00D00D80" w:rsidRDefault="00D87361" w:rsidP="004B15DB">
      <w:pPr>
        <w:numPr>
          <w:ilvl w:val="0"/>
          <w:numId w:val="2"/>
        </w:numPr>
        <w:jc w:val="both"/>
        <w:rPr>
          <w:sz w:val="22"/>
          <w:szCs w:val="22"/>
          <w:lang w:val="en-GB"/>
        </w:rPr>
      </w:pPr>
      <w:r w:rsidRPr="00D00D80">
        <w:rPr>
          <w:sz w:val="22"/>
          <w:szCs w:val="22"/>
          <w:lang w:val="en-GB"/>
        </w:rPr>
        <w:t>Advanced university degree in Social Sciences (education, law, social work, psychology, sociology, international relations). Having a master’s degree in the field</w:t>
      </w:r>
      <w:r w:rsidR="004636E3" w:rsidRPr="00D00D80">
        <w:rPr>
          <w:sz w:val="22"/>
          <w:szCs w:val="22"/>
          <w:lang w:val="en-GB"/>
        </w:rPr>
        <w:t>(</w:t>
      </w:r>
      <w:r w:rsidRPr="00D00D80">
        <w:rPr>
          <w:sz w:val="22"/>
          <w:szCs w:val="22"/>
          <w:lang w:val="en-GB"/>
        </w:rPr>
        <w:t>s</w:t>
      </w:r>
      <w:r w:rsidR="004636E3" w:rsidRPr="00D00D80">
        <w:rPr>
          <w:sz w:val="22"/>
          <w:szCs w:val="22"/>
          <w:lang w:val="en-GB"/>
        </w:rPr>
        <w:t>)</w:t>
      </w:r>
      <w:r w:rsidRPr="00D00D80">
        <w:rPr>
          <w:sz w:val="22"/>
          <w:szCs w:val="22"/>
          <w:lang w:val="en-GB"/>
        </w:rPr>
        <w:t xml:space="preserve"> of program development and/or teaching methods and techniques is an asset.</w:t>
      </w:r>
    </w:p>
    <w:p w:rsidR="00D87361" w:rsidRPr="00D00D80" w:rsidRDefault="00D87361" w:rsidP="004B15DB">
      <w:pPr>
        <w:numPr>
          <w:ilvl w:val="0"/>
          <w:numId w:val="2"/>
        </w:numPr>
        <w:jc w:val="both"/>
        <w:rPr>
          <w:sz w:val="22"/>
          <w:szCs w:val="22"/>
          <w:lang w:val="en-GB"/>
        </w:rPr>
      </w:pPr>
      <w:r w:rsidRPr="00D00D80">
        <w:rPr>
          <w:sz w:val="22"/>
          <w:szCs w:val="22"/>
          <w:lang w:val="en-GB"/>
        </w:rPr>
        <w:t>At least 10 years’ relevant work experience in the area of Education and Gender in middle-upper income countries and emergency settings, including at least:</w:t>
      </w:r>
    </w:p>
    <w:p w:rsidR="00D87361" w:rsidRPr="00D00D80" w:rsidRDefault="00D87361" w:rsidP="004B15DB">
      <w:pPr>
        <w:numPr>
          <w:ilvl w:val="0"/>
          <w:numId w:val="8"/>
        </w:numPr>
        <w:jc w:val="both"/>
        <w:rPr>
          <w:sz w:val="22"/>
          <w:szCs w:val="22"/>
          <w:lang w:val="en-GB"/>
        </w:rPr>
      </w:pPr>
      <w:r w:rsidRPr="00D00D80">
        <w:rPr>
          <w:sz w:val="22"/>
          <w:szCs w:val="22"/>
          <w:lang w:val="en-GB"/>
        </w:rPr>
        <w:t>Two years on gender equality in education.</w:t>
      </w:r>
    </w:p>
    <w:p w:rsidR="00D87361" w:rsidRPr="00D00D80" w:rsidRDefault="00D87361" w:rsidP="004B15DB">
      <w:pPr>
        <w:pStyle w:val="ListParagraph"/>
        <w:numPr>
          <w:ilvl w:val="0"/>
          <w:numId w:val="9"/>
        </w:numPr>
        <w:ind w:left="720"/>
        <w:jc w:val="both"/>
        <w:rPr>
          <w:sz w:val="22"/>
          <w:szCs w:val="22"/>
          <w:lang w:val="en-GB"/>
        </w:rPr>
      </w:pPr>
      <w:r w:rsidRPr="00D00D80">
        <w:rPr>
          <w:sz w:val="22"/>
          <w:szCs w:val="22"/>
          <w:lang w:val="en-GB"/>
        </w:rPr>
        <w:t>One year in preparing and/or developing capacity building materials on gender equality.</w:t>
      </w:r>
    </w:p>
    <w:p w:rsidR="00D87361" w:rsidRPr="00D00D80" w:rsidRDefault="00D87361" w:rsidP="004B15DB">
      <w:pPr>
        <w:numPr>
          <w:ilvl w:val="0"/>
          <w:numId w:val="2"/>
        </w:numPr>
        <w:jc w:val="both"/>
        <w:rPr>
          <w:sz w:val="22"/>
          <w:szCs w:val="22"/>
          <w:lang w:val="en-GB"/>
        </w:rPr>
      </w:pPr>
      <w:r w:rsidRPr="00D00D80">
        <w:rPr>
          <w:sz w:val="22"/>
          <w:szCs w:val="22"/>
          <w:lang w:val="en-GB"/>
        </w:rPr>
        <w:t>The working experience of the consultant should cover the following areas:</w:t>
      </w:r>
    </w:p>
    <w:p w:rsidR="00D87361" w:rsidRPr="00D00D80" w:rsidRDefault="00D87361" w:rsidP="004B15DB">
      <w:pPr>
        <w:numPr>
          <w:ilvl w:val="0"/>
          <w:numId w:val="10"/>
        </w:numPr>
        <w:tabs>
          <w:tab w:val="left" w:pos="900"/>
        </w:tabs>
        <w:jc w:val="both"/>
        <w:rPr>
          <w:sz w:val="22"/>
          <w:szCs w:val="22"/>
          <w:lang w:val="en-GB"/>
        </w:rPr>
      </w:pPr>
      <w:r w:rsidRPr="00D00D80">
        <w:rPr>
          <w:sz w:val="22"/>
          <w:szCs w:val="22"/>
          <w:lang w:val="en-GB"/>
        </w:rPr>
        <w:t>Capacity building and case management; development of tools, protocols, guidelines/standard operating procedures.</w:t>
      </w:r>
    </w:p>
    <w:p w:rsidR="00D87361" w:rsidRPr="00D00D80" w:rsidRDefault="00D87361" w:rsidP="004B15DB">
      <w:pPr>
        <w:numPr>
          <w:ilvl w:val="0"/>
          <w:numId w:val="10"/>
        </w:numPr>
        <w:tabs>
          <w:tab w:val="left" w:pos="900"/>
        </w:tabs>
        <w:jc w:val="both"/>
        <w:rPr>
          <w:sz w:val="22"/>
          <w:szCs w:val="22"/>
          <w:lang w:val="en-GB"/>
        </w:rPr>
      </w:pPr>
      <w:r w:rsidRPr="00D00D80">
        <w:rPr>
          <w:sz w:val="22"/>
          <w:szCs w:val="22"/>
          <w:lang w:val="en-GB"/>
        </w:rPr>
        <w:t>Field experience in school practices on gender equality in education (implementation, pilot implementation etc.) at international level.</w:t>
      </w:r>
    </w:p>
    <w:p w:rsidR="00D87361" w:rsidRPr="00D00D80" w:rsidRDefault="00D87361" w:rsidP="004B15DB">
      <w:pPr>
        <w:numPr>
          <w:ilvl w:val="0"/>
          <w:numId w:val="2"/>
        </w:numPr>
        <w:jc w:val="both"/>
        <w:rPr>
          <w:sz w:val="22"/>
          <w:szCs w:val="22"/>
          <w:lang w:val="en-GB"/>
        </w:rPr>
      </w:pPr>
      <w:r w:rsidRPr="00D00D80">
        <w:rPr>
          <w:sz w:val="22"/>
          <w:szCs w:val="22"/>
          <w:lang w:val="en-GB"/>
        </w:rPr>
        <w:t xml:space="preserve">Ability to </w:t>
      </w:r>
      <w:r w:rsidR="004636E3" w:rsidRPr="00D00D80">
        <w:rPr>
          <w:sz w:val="22"/>
          <w:szCs w:val="22"/>
          <w:lang w:val="en-GB"/>
        </w:rPr>
        <w:t>produce</w:t>
      </w:r>
      <w:r w:rsidRPr="00D00D80">
        <w:rPr>
          <w:sz w:val="22"/>
          <w:szCs w:val="22"/>
          <w:lang w:val="en-GB"/>
        </w:rPr>
        <w:t xml:space="preserve"> high-quality project outputs in English. </w:t>
      </w:r>
    </w:p>
    <w:p w:rsidR="0053559D" w:rsidRPr="00D00D80" w:rsidRDefault="0053559D" w:rsidP="005B2DF9">
      <w:pPr>
        <w:jc w:val="both"/>
        <w:rPr>
          <w:b/>
          <w:sz w:val="22"/>
          <w:szCs w:val="22"/>
          <w:lang w:val="en-GB"/>
        </w:rPr>
      </w:pPr>
    </w:p>
    <w:p w:rsidR="00524764" w:rsidRPr="00D00D80" w:rsidRDefault="00C62722" w:rsidP="005B2DF9">
      <w:pPr>
        <w:jc w:val="both"/>
        <w:rPr>
          <w:b/>
          <w:sz w:val="22"/>
          <w:szCs w:val="22"/>
          <w:lang w:val="en-GB"/>
        </w:rPr>
      </w:pPr>
      <w:r w:rsidRPr="00D00D80">
        <w:rPr>
          <w:b/>
          <w:sz w:val="22"/>
          <w:szCs w:val="22"/>
          <w:lang w:val="en-GB"/>
        </w:rPr>
        <w:t>Values and competencies</w:t>
      </w:r>
      <w:r w:rsidR="00524764" w:rsidRPr="00D00D80">
        <w:rPr>
          <w:b/>
          <w:sz w:val="22"/>
          <w:szCs w:val="22"/>
          <w:lang w:val="en-GB"/>
        </w:rPr>
        <w:t>:</w:t>
      </w:r>
    </w:p>
    <w:p w:rsidR="00524764" w:rsidRPr="00D00D80" w:rsidRDefault="00524764" w:rsidP="004B15DB">
      <w:pPr>
        <w:numPr>
          <w:ilvl w:val="0"/>
          <w:numId w:val="1"/>
        </w:numPr>
        <w:rPr>
          <w:sz w:val="22"/>
          <w:szCs w:val="22"/>
          <w:lang w:val="en-GB"/>
        </w:rPr>
      </w:pPr>
      <w:r w:rsidRPr="00D00D80">
        <w:rPr>
          <w:sz w:val="22"/>
          <w:szCs w:val="22"/>
          <w:lang w:val="en-GB"/>
        </w:rPr>
        <w:t xml:space="preserve">Deep understanding and sense of ethics with regard to human and children’s rights, different cultures, local customs, religious beliefs and rituals, personal interaction and gender roles, disability, age and ethnicity. </w:t>
      </w:r>
    </w:p>
    <w:p w:rsidR="00524764" w:rsidRPr="00D00D80" w:rsidRDefault="00524764" w:rsidP="004B15DB">
      <w:pPr>
        <w:numPr>
          <w:ilvl w:val="0"/>
          <w:numId w:val="1"/>
        </w:numPr>
        <w:rPr>
          <w:sz w:val="22"/>
          <w:szCs w:val="22"/>
          <w:lang w:val="en-GB"/>
        </w:rPr>
      </w:pPr>
      <w:r w:rsidRPr="00D00D80">
        <w:rPr>
          <w:sz w:val="22"/>
          <w:szCs w:val="22"/>
          <w:lang w:val="en-GB"/>
        </w:rPr>
        <w:t xml:space="preserve">Excellent analytical, organizational and interpersonal communication skills. </w:t>
      </w:r>
    </w:p>
    <w:p w:rsidR="00524764" w:rsidRPr="00D00D80" w:rsidRDefault="00524764" w:rsidP="004B15DB">
      <w:pPr>
        <w:widowControl/>
        <w:numPr>
          <w:ilvl w:val="0"/>
          <w:numId w:val="1"/>
        </w:numPr>
        <w:jc w:val="both"/>
        <w:rPr>
          <w:sz w:val="22"/>
          <w:szCs w:val="22"/>
          <w:lang w:val="en-GB"/>
        </w:rPr>
      </w:pPr>
      <w:r w:rsidRPr="00D00D80">
        <w:rPr>
          <w:sz w:val="22"/>
          <w:szCs w:val="22"/>
          <w:lang w:val="en-GB"/>
        </w:rPr>
        <w:t xml:space="preserve">Evidence of being skilled at working in close cooperation with national and international actors and facilitating coordination of the process within the determined deadlines. </w:t>
      </w:r>
    </w:p>
    <w:p w:rsidR="00524764" w:rsidRPr="00D00D80" w:rsidRDefault="004636E3" w:rsidP="004B15DB">
      <w:pPr>
        <w:pStyle w:val="ListParagraph"/>
        <w:numPr>
          <w:ilvl w:val="0"/>
          <w:numId w:val="1"/>
        </w:numPr>
        <w:rPr>
          <w:sz w:val="22"/>
          <w:szCs w:val="22"/>
          <w:lang w:val="en-GB"/>
        </w:rPr>
      </w:pPr>
      <w:r w:rsidRPr="00D00D80">
        <w:rPr>
          <w:sz w:val="22"/>
          <w:szCs w:val="22"/>
          <w:lang w:val="en-GB"/>
        </w:rPr>
        <w:t>Strong computer literacy, particularly across all Microsoft Office packages.</w:t>
      </w:r>
    </w:p>
    <w:p w:rsidR="00FC04D4" w:rsidRDefault="00FC04D4" w:rsidP="005B2DF9">
      <w:pPr>
        <w:jc w:val="both"/>
        <w:rPr>
          <w:b/>
          <w:sz w:val="22"/>
          <w:szCs w:val="22"/>
          <w:lang w:val="en-GB"/>
        </w:rPr>
      </w:pPr>
    </w:p>
    <w:p w:rsidR="00524764" w:rsidRPr="00D00D80" w:rsidRDefault="00524764" w:rsidP="005B2DF9">
      <w:pPr>
        <w:jc w:val="both"/>
        <w:rPr>
          <w:b/>
          <w:sz w:val="22"/>
          <w:szCs w:val="22"/>
          <w:lang w:val="en-GB"/>
        </w:rPr>
      </w:pPr>
      <w:r w:rsidRPr="00D00D80">
        <w:rPr>
          <w:b/>
          <w:sz w:val="22"/>
          <w:szCs w:val="22"/>
          <w:lang w:val="en-GB"/>
        </w:rPr>
        <w:t>Language:</w:t>
      </w:r>
      <w:r w:rsidRPr="00D00D80">
        <w:rPr>
          <w:sz w:val="22"/>
          <w:szCs w:val="22"/>
          <w:lang w:val="en-GB"/>
        </w:rPr>
        <w:t xml:space="preserve"> </w:t>
      </w:r>
      <w:r w:rsidRPr="00D00D80">
        <w:rPr>
          <w:b/>
          <w:sz w:val="22"/>
          <w:szCs w:val="22"/>
          <w:lang w:val="en-GB"/>
        </w:rPr>
        <w:t xml:space="preserve">English </w:t>
      </w:r>
    </w:p>
    <w:p w:rsidR="00584915" w:rsidRDefault="00584915" w:rsidP="005B2DF9">
      <w:pPr>
        <w:jc w:val="both"/>
        <w:rPr>
          <w:b/>
          <w:sz w:val="22"/>
          <w:szCs w:val="22"/>
          <w:lang w:val="en-GB"/>
        </w:rPr>
      </w:pPr>
    </w:p>
    <w:p w:rsidR="00FC04D4" w:rsidRPr="00D00D80" w:rsidRDefault="00FC04D4" w:rsidP="005B2DF9">
      <w:pPr>
        <w:jc w:val="both"/>
        <w:rPr>
          <w:b/>
          <w:sz w:val="22"/>
          <w:szCs w:val="22"/>
          <w:lang w:val="en-GB"/>
        </w:rPr>
      </w:pPr>
    </w:p>
    <w:tbl>
      <w:tblPr>
        <w:tblStyle w:val="TableGrid1"/>
        <w:tblW w:w="9625" w:type="dxa"/>
        <w:tblLayout w:type="fixed"/>
        <w:tblLook w:val="04A0" w:firstRow="1" w:lastRow="0" w:firstColumn="1" w:lastColumn="0" w:noHBand="0" w:noVBand="1"/>
      </w:tblPr>
      <w:tblGrid>
        <w:gridCol w:w="715"/>
        <w:gridCol w:w="1980"/>
        <w:gridCol w:w="2340"/>
        <w:gridCol w:w="2250"/>
        <w:gridCol w:w="2340"/>
      </w:tblGrid>
      <w:tr w:rsidR="003700B4" w:rsidRPr="00D00D80" w:rsidTr="00B5012B">
        <w:trPr>
          <w:trHeight w:val="323"/>
        </w:trPr>
        <w:tc>
          <w:tcPr>
            <w:tcW w:w="715" w:type="dxa"/>
            <w:vAlign w:val="center"/>
          </w:tcPr>
          <w:p w:rsidR="003700B4" w:rsidRPr="00D00D80" w:rsidRDefault="003700B4" w:rsidP="005B2DF9">
            <w:pPr>
              <w:jc w:val="center"/>
              <w:rPr>
                <w:b/>
                <w:sz w:val="22"/>
                <w:szCs w:val="22"/>
                <w:lang w:val="en-GB"/>
              </w:rPr>
            </w:pPr>
          </w:p>
        </w:tc>
        <w:tc>
          <w:tcPr>
            <w:tcW w:w="1980" w:type="dxa"/>
            <w:shd w:val="clear" w:color="auto" w:fill="auto"/>
            <w:vAlign w:val="center"/>
          </w:tcPr>
          <w:p w:rsidR="003700B4" w:rsidRPr="00D00D80" w:rsidRDefault="003700B4" w:rsidP="005B2DF9">
            <w:pPr>
              <w:jc w:val="center"/>
              <w:rPr>
                <w:b/>
                <w:sz w:val="22"/>
                <w:szCs w:val="22"/>
                <w:lang w:val="en-GB"/>
              </w:rPr>
            </w:pPr>
            <w:r w:rsidRPr="00D00D80">
              <w:rPr>
                <w:b/>
                <w:sz w:val="22"/>
                <w:szCs w:val="22"/>
                <w:lang w:val="en-GB"/>
              </w:rPr>
              <w:t>PREPARED</w:t>
            </w:r>
          </w:p>
        </w:tc>
        <w:tc>
          <w:tcPr>
            <w:tcW w:w="2340" w:type="dxa"/>
            <w:shd w:val="clear" w:color="auto" w:fill="auto"/>
            <w:vAlign w:val="center"/>
          </w:tcPr>
          <w:p w:rsidR="003700B4" w:rsidRPr="00D00D80" w:rsidRDefault="003700B4" w:rsidP="005B2DF9">
            <w:pPr>
              <w:jc w:val="center"/>
              <w:rPr>
                <w:b/>
                <w:sz w:val="22"/>
                <w:szCs w:val="22"/>
                <w:lang w:val="en-GB"/>
              </w:rPr>
            </w:pPr>
            <w:r w:rsidRPr="00D00D80">
              <w:rPr>
                <w:b/>
                <w:sz w:val="22"/>
                <w:szCs w:val="22"/>
                <w:lang w:val="en-GB"/>
              </w:rPr>
              <w:t>REVIEWED</w:t>
            </w:r>
          </w:p>
        </w:tc>
        <w:tc>
          <w:tcPr>
            <w:tcW w:w="2250" w:type="dxa"/>
            <w:vAlign w:val="center"/>
          </w:tcPr>
          <w:p w:rsidR="003700B4" w:rsidRPr="00D00D80" w:rsidRDefault="003700B4" w:rsidP="005B2DF9">
            <w:pPr>
              <w:jc w:val="center"/>
              <w:rPr>
                <w:b/>
                <w:sz w:val="22"/>
                <w:szCs w:val="22"/>
                <w:lang w:val="en-GB"/>
              </w:rPr>
            </w:pPr>
            <w:r w:rsidRPr="00D00D80">
              <w:rPr>
                <w:b/>
                <w:sz w:val="22"/>
                <w:szCs w:val="22"/>
                <w:lang w:val="en-GB"/>
              </w:rPr>
              <w:t>REVIEWED</w:t>
            </w:r>
          </w:p>
        </w:tc>
        <w:tc>
          <w:tcPr>
            <w:tcW w:w="2340" w:type="dxa"/>
            <w:shd w:val="clear" w:color="auto" w:fill="auto"/>
            <w:vAlign w:val="center"/>
          </w:tcPr>
          <w:p w:rsidR="003700B4" w:rsidRPr="00D00D80" w:rsidRDefault="003700B4" w:rsidP="005B2DF9">
            <w:pPr>
              <w:jc w:val="center"/>
              <w:rPr>
                <w:b/>
                <w:sz w:val="22"/>
                <w:szCs w:val="22"/>
                <w:lang w:val="en-GB"/>
              </w:rPr>
            </w:pPr>
            <w:r w:rsidRPr="00D00D80">
              <w:rPr>
                <w:b/>
                <w:sz w:val="22"/>
                <w:szCs w:val="22"/>
                <w:lang w:val="en-GB"/>
              </w:rPr>
              <w:t>APPROVED</w:t>
            </w:r>
          </w:p>
        </w:tc>
      </w:tr>
      <w:tr w:rsidR="003700B4" w:rsidRPr="00D00D80" w:rsidTr="000559BC">
        <w:trPr>
          <w:trHeight w:val="435"/>
        </w:trPr>
        <w:tc>
          <w:tcPr>
            <w:tcW w:w="715" w:type="dxa"/>
            <w:vAlign w:val="center"/>
          </w:tcPr>
          <w:p w:rsidR="003700B4" w:rsidRPr="00D00D80" w:rsidRDefault="003700B4" w:rsidP="005B2DF9">
            <w:pPr>
              <w:jc w:val="center"/>
              <w:rPr>
                <w:b/>
                <w:sz w:val="22"/>
                <w:szCs w:val="22"/>
                <w:lang w:val="en-GB"/>
              </w:rPr>
            </w:pPr>
            <w:r w:rsidRPr="00D00D80">
              <w:rPr>
                <w:b/>
                <w:sz w:val="22"/>
                <w:szCs w:val="22"/>
                <w:lang w:val="en-GB"/>
              </w:rPr>
              <w:t>BY</w:t>
            </w:r>
          </w:p>
          <w:p w:rsidR="003700B4" w:rsidRPr="00D00D80" w:rsidRDefault="003700B4" w:rsidP="005B2DF9">
            <w:pPr>
              <w:jc w:val="center"/>
              <w:rPr>
                <w:b/>
                <w:sz w:val="22"/>
                <w:szCs w:val="22"/>
                <w:lang w:val="en-GB"/>
              </w:rPr>
            </w:pPr>
          </w:p>
        </w:tc>
        <w:tc>
          <w:tcPr>
            <w:tcW w:w="1980" w:type="dxa"/>
            <w:shd w:val="clear" w:color="auto" w:fill="auto"/>
            <w:vAlign w:val="center"/>
          </w:tcPr>
          <w:p w:rsidR="003700B4" w:rsidRPr="00D00D80" w:rsidRDefault="000559BC" w:rsidP="000559BC">
            <w:pPr>
              <w:ind w:right="-567"/>
              <w:rPr>
                <w:b/>
                <w:bCs/>
                <w:sz w:val="22"/>
                <w:szCs w:val="22"/>
                <w:lang w:val="en-GB"/>
              </w:rPr>
            </w:pPr>
            <w:r w:rsidRPr="00D00D80">
              <w:rPr>
                <w:b/>
                <w:bCs/>
                <w:sz w:val="22"/>
                <w:szCs w:val="22"/>
                <w:lang w:val="en-GB"/>
              </w:rPr>
              <w:t xml:space="preserve">   </w:t>
            </w:r>
            <w:r w:rsidR="003700B4" w:rsidRPr="00D00D80">
              <w:rPr>
                <w:b/>
                <w:bCs/>
                <w:sz w:val="22"/>
                <w:szCs w:val="22"/>
                <w:lang w:val="en-GB"/>
              </w:rPr>
              <w:t>Kamil Kurtul</w:t>
            </w:r>
          </w:p>
          <w:p w:rsidR="003700B4" w:rsidRPr="00D00D80" w:rsidRDefault="003700B4" w:rsidP="000559BC">
            <w:pPr>
              <w:jc w:val="center"/>
              <w:rPr>
                <w:i/>
                <w:sz w:val="22"/>
                <w:szCs w:val="22"/>
                <w:lang w:val="en-GB"/>
              </w:rPr>
            </w:pPr>
            <w:r w:rsidRPr="00D00D80">
              <w:rPr>
                <w:i/>
                <w:sz w:val="22"/>
                <w:szCs w:val="22"/>
                <w:lang w:val="en-GB"/>
              </w:rPr>
              <w:t>Education Specialist</w:t>
            </w:r>
          </w:p>
        </w:tc>
        <w:tc>
          <w:tcPr>
            <w:tcW w:w="2340" w:type="dxa"/>
            <w:shd w:val="clear" w:color="auto" w:fill="auto"/>
            <w:vAlign w:val="center"/>
          </w:tcPr>
          <w:p w:rsidR="003700B4" w:rsidRPr="00D00D80" w:rsidRDefault="003700B4" w:rsidP="000559BC">
            <w:pPr>
              <w:jc w:val="center"/>
              <w:rPr>
                <w:b/>
                <w:bCs/>
                <w:iCs/>
                <w:sz w:val="22"/>
                <w:szCs w:val="22"/>
                <w:lang w:val="en-GB"/>
              </w:rPr>
            </w:pPr>
            <w:r w:rsidRPr="00D00D80">
              <w:rPr>
                <w:b/>
                <w:bCs/>
                <w:iCs/>
                <w:sz w:val="22"/>
                <w:szCs w:val="22"/>
                <w:lang w:val="en-GB"/>
              </w:rPr>
              <w:t>Brenda Haiplik</w:t>
            </w:r>
          </w:p>
          <w:p w:rsidR="003700B4" w:rsidRPr="00D00D80" w:rsidRDefault="003700B4" w:rsidP="000559BC">
            <w:pPr>
              <w:jc w:val="center"/>
              <w:rPr>
                <w:i/>
                <w:sz w:val="22"/>
                <w:szCs w:val="22"/>
                <w:lang w:val="en-GB"/>
              </w:rPr>
            </w:pPr>
            <w:r w:rsidRPr="00D00D80">
              <w:rPr>
                <w:i/>
                <w:sz w:val="22"/>
                <w:szCs w:val="22"/>
                <w:lang w:val="en-GB"/>
              </w:rPr>
              <w:t>Chief of Education Programme</w:t>
            </w:r>
          </w:p>
        </w:tc>
        <w:tc>
          <w:tcPr>
            <w:tcW w:w="2250" w:type="dxa"/>
            <w:vAlign w:val="center"/>
          </w:tcPr>
          <w:p w:rsidR="003700B4" w:rsidRPr="00D00D80" w:rsidRDefault="003700B4" w:rsidP="000559BC">
            <w:pPr>
              <w:jc w:val="center"/>
              <w:rPr>
                <w:b/>
                <w:bCs/>
                <w:sz w:val="22"/>
                <w:szCs w:val="22"/>
                <w:lang w:val="en-GB"/>
              </w:rPr>
            </w:pPr>
            <w:r w:rsidRPr="00D00D80">
              <w:rPr>
                <w:b/>
                <w:bCs/>
                <w:sz w:val="22"/>
                <w:szCs w:val="22"/>
                <w:lang w:val="en-GB"/>
              </w:rPr>
              <w:t>Lieke van de Wiel</w:t>
            </w:r>
          </w:p>
          <w:p w:rsidR="003700B4" w:rsidRPr="00D00D80" w:rsidRDefault="003700B4" w:rsidP="000559BC">
            <w:pPr>
              <w:jc w:val="center"/>
              <w:rPr>
                <w:b/>
                <w:bCs/>
                <w:sz w:val="22"/>
                <w:szCs w:val="22"/>
                <w:lang w:val="en-GB"/>
              </w:rPr>
            </w:pPr>
            <w:r w:rsidRPr="00D00D80">
              <w:rPr>
                <w:i/>
                <w:sz w:val="22"/>
                <w:szCs w:val="22"/>
                <w:lang w:val="en-GB"/>
              </w:rPr>
              <w:t>Deputy Representative</w:t>
            </w:r>
          </w:p>
        </w:tc>
        <w:tc>
          <w:tcPr>
            <w:tcW w:w="2340" w:type="dxa"/>
            <w:shd w:val="clear" w:color="auto" w:fill="auto"/>
          </w:tcPr>
          <w:p w:rsidR="003700B4" w:rsidRPr="00D00D80" w:rsidRDefault="003700B4" w:rsidP="000559BC">
            <w:pPr>
              <w:jc w:val="center"/>
              <w:rPr>
                <w:i/>
                <w:sz w:val="22"/>
                <w:szCs w:val="22"/>
                <w:lang w:val="en-GB"/>
              </w:rPr>
            </w:pPr>
            <w:r w:rsidRPr="00D00D80">
              <w:rPr>
                <w:b/>
                <w:bCs/>
                <w:sz w:val="22"/>
                <w:szCs w:val="22"/>
                <w:lang w:val="fr-FR"/>
              </w:rPr>
              <w:t>Philippe Duamelle</w:t>
            </w:r>
            <w:r w:rsidRPr="00D00D80">
              <w:rPr>
                <w:sz w:val="22"/>
                <w:szCs w:val="22"/>
                <w:lang w:val="fr-FR"/>
              </w:rPr>
              <w:t xml:space="preserve"> </w:t>
            </w:r>
            <w:r w:rsidRPr="00D00D80">
              <w:rPr>
                <w:i/>
                <w:sz w:val="22"/>
                <w:szCs w:val="22"/>
                <w:lang w:val="en-GB"/>
              </w:rPr>
              <w:t>Representative</w:t>
            </w:r>
          </w:p>
        </w:tc>
      </w:tr>
      <w:tr w:rsidR="003700B4" w:rsidRPr="00D00D80" w:rsidTr="00B5012B">
        <w:trPr>
          <w:trHeight w:val="494"/>
        </w:trPr>
        <w:tc>
          <w:tcPr>
            <w:tcW w:w="715" w:type="dxa"/>
            <w:vAlign w:val="center"/>
          </w:tcPr>
          <w:p w:rsidR="003700B4" w:rsidRPr="00D00D80" w:rsidRDefault="003700B4" w:rsidP="005B2DF9">
            <w:pPr>
              <w:jc w:val="center"/>
              <w:rPr>
                <w:b/>
                <w:sz w:val="22"/>
                <w:szCs w:val="22"/>
                <w:lang w:val="en-GB"/>
              </w:rPr>
            </w:pPr>
            <w:r w:rsidRPr="00D00D80">
              <w:rPr>
                <w:b/>
                <w:sz w:val="22"/>
                <w:szCs w:val="22"/>
                <w:lang w:val="en-GB"/>
              </w:rPr>
              <w:t>ON</w:t>
            </w:r>
          </w:p>
        </w:tc>
        <w:tc>
          <w:tcPr>
            <w:tcW w:w="1980" w:type="dxa"/>
            <w:vAlign w:val="center"/>
          </w:tcPr>
          <w:p w:rsidR="003700B4" w:rsidRPr="00D00D80" w:rsidRDefault="003700B4" w:rsidP="005B2DF9">
            <w:pPr>
              <w:jc w:val="center"/>
              <w:rPr>
                <w:sz w:val="22"/>
                <w:szCs w:val="22"/>
                <w:lang w:val="en-GB"/>
              </w:rPr>
            </w:pPr>
          </w:p>
        </w:tc>
        <w:tc>
          <w:tcPr>
            <w:tcW w:w="2340" w:type="dxa"/>
            <w:vAlign w:val="center"/>
          </w:tcPr>
          <w:p w:rsidR="003700B4" w:rsidRPr="00D00D80" w:rsidRDefault="003700B4" w:rsidP="005B2DF9">
            <w:pPr>
              <w:jc w:val="center"/>
              <w:rPr>
                <w:sz w:val="22"/>
                <w:szCs w:val="22"/>
                <w:lang w:val="en-GB"/>
              </w:rPr>
            </w:pPr>
          </w:p>
        </w:tc>
        <w:tc>
          <w:tcPr>
            <w:tcW w:w="2250" w:type="dxa"/>
            <w:vAlign w:val="center"/>
          </w:tcPr>
          <w:p w:rsidR="003700B4" w:rsidRPr="00D00D80" w:rsidRDefault="003700B4" w:rsidP="005B2DF9">
            <w:pPr>
              <w:jc w:val="center"/>
              <w:rPr>
                <w:sz w:val="22"/>
                <w:szCs w:val="22"/>
                <w:lang w:val="en-GB"/>
              </w:rPr>
            </w:pPr>
          </w:p>
        </w:tc>
        <w:tc>
          <w:tcPr>
            <w:tcW w:w="2340" w:type="dxa"/>
            <w:vAlign w:val="center"/>
          </w:tcPr>
          <w:p w:rsidR="003700B4" w:rsidRPr="00D00D80" w:rsidRDefault="003700B4" w:rsidP="005B2DF9">
            <w:pPr>
              <w:jc w:val="center"/>
              <w:rPr>
                <w:sz w:val="22"/>
                <w:szCs w:val="22"/>
                <w:lang w:val="en-GB"/>
              </w:rPr>
            </w:pPr>
          </w:p>
        </w:tc>
      </w:tr>
      <w:tr w:rsidR="003700B4" w:rsidRPr="00D00D80" w:rsidTr="00B5012B">
        <w:trPr>
          <w:trHeight w:val="557"/>
        </w:trPr>
        <w:tc>
          <w:tcPr>
            <w:tcW w:w="715" w:type="dxa"/>
            <w:vAlign w:val="center"/>
          </w:tcPr>
          <w:p w:rsidR="003700B4" w:rsidRPr="00D00D80" w:rsidRDefault="003700B4" w:rsidP="005B2DF9">
            <w:pPr>
              <w:jc w:val="center"/>
              <w:rPr>
                <w:b/>
                <w:sz w:val="22"/>
                <w:szCs w:val="22"/>
                <w:lang w:val="en-GB"/>
              </w:rPr>
            </w:pPr>
            <w:r w:rsidRPr="00D00D80">
              <w:rPr>
                <w:b/>
                <w:sz w:val="22"/>
                <w:szCs w:val="22"/>
                <w:lang w:val="en-GB"/>
              </w:rPr>
              <w:t>SGN</w:t>
            </w:r>
          </w:p>
        </w:tc>
        <w:tc>
          <w:tcPr>
            <w:tcW w:w="1980" w:type="dxa"/>
            <w:vAlign w:val="center"/>
          </w:tcPr>
          <w:p w:rsidR="003700B4" w:rsidRPr="00D00D80" w:rsidRDefault="003700B4" w:rsidP="005B2DF9">
            <w:pPr>
              <w:rPr>
                <w:sz w:val="22"/>
                <w:szCs w:val="22"/>
                <w:lang w:val="en-GB"/>
              </w:rPr>
            </w:pPr>
          </w:p>
          <w:p w:rsidR="003700B4" w:rsidRPr="00D00D80" w:rsidRDefault="003700B4" w:rsidP="005B2DF9">
            <w:pPr>
              <w:jc w:val="center"/>
              <w:rPr>
                <w:sz w:val="22"/>
                <w:szCs w:val="22"/>
                <w:lang w:val="en-GB"/>
              </w:rPr>
            </w:pPr>
          </w:p>
        </w:tc>
        <w:tc>
          <w:tcPr>
            <w:tcW w:w="2340" w:type="dxa"/>
            <w:vAlign w:val="center"/>
          </w:tcPr>
          <w:p w:rsidR="003700B4" w:rsidRPr="00D00D80" w:rsidRDefault="003700B4" w:rsidP="005B2DF9">
            <w:pPr>
              <w:jc w:val="center"/>
              <w:rPr>
                <w:sz w:val="22"/>
                <w:szCs w:val="22"/>
                <w:lang w:val="en-GB"/>
              </w:rPr>
            </w:pPr>
          </w:p>
        </w:tc>
        <w:tc>
          <w:tcPr>
            <w:tcW w:w="2250" w:type="dxa"/>
            <w:vAlign w:val="center"/>
          </w:tcPr>
          <w:p w:rsidR="003700B4" w:rsidRPr="00D00D80" w:rsidRDefault="003700B4" w:rsidP="005B2DF9">
            <w:pPr>
              <w:jc w:val="center"/>
              <w:rPr>
                <w:sz w:val="22"/>
                <w:szCs w:val="22"/>
                <w:lang w:val="en-GB"/>
              </w:rPr>
            </w:pPr>
          </w:p>
        </w:tc>
        <w:tc>
          <w:tcPr>
            <w:tcW w:w="2340" w:type="dxa"/>
            <w:vAlign w:val="center"/>
          </w:tcPr>
          <w:p w:rsidR="003700B4" w:rsidRPr="00D00D80" w:rsidRDefault="003700B4" w:rsidP="005B2DF9">
            <w:pPr>
              <w:jc w:val="center"/>
              <w:rPr>
                <w:sz w:val="22"/>
                <w:szCs w:val="22"/>
                <w:lang w:val="en-GB"/>
              </w:rPr>
            </w:pPr>
          </w:p>
        </w:tc>
      </w:tr>
    </w:tbl>
    <w:p w:rsidR="00B51603" w:rsidRPr="00D00D80" w:rsidRDefault="00B51603" w:rsidP="00584915">
      <w:pPr>
        <w:rPr>
          <w:sz w:val="22"/>
          <w:szCs w:val="22"/>
          <w:lang w:val="en-GB"/>
        </w:rPr>
      </w:pPr>
    </w:p>
    <w:sectPr w:rsidR="00B51603" w:rsidRPr="00D00D80" w:rsidSect="00751D67">
      <w:headerReference w:type="default" r:id="rId9"/>
      <w:footerReference w:type="default" r:id="rId10"/>
      <w:headerReference w:type="first" r:id="rId11"/>
      <w:footerReference w:type="first" r:id="rId12"/>
      <w:pgSz w:w="11906" w:h="16838"/>
      <w:pgMar w:top="1170" w:right="1417" w:bottom="81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0BC8" w:rsidRDefault="003A0BC8" w:rsidP="009D631A">
      <w:r>
        <w:separator/>
      </w:r>
    </w:p>
  </w:endnote>
  <w:endnote w:type="continuationSeparator" w:id="0">
    <w:p w:rsidR="003A0BC8" w:rsidRDefault="003A0BC8" w:rsidP="009D6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94102464"/>
      <w:docPartObj>
        <w:docPartGallery w:val="Page Numbers (Bottom of Page)"/>
        <w:docPartUnique/>
      </w:docPartObj>
    </w:sdtPr>
    <w:sdtEndPr/>
    <w:sdtContent>
      <w:sdt>
        <w:sdtPr>
          <w:id w:val="-813258112"/>
          <w:docPartObj>
            <w:docPartGallery w:val="Page Numbers (Top of Page)"/>
            <w:docPartUnique/>
          </w:docPartObj>
        </w:sdtPr>
        <w:sdtEndPr/>
        <w:sdtContent>
          <w:p w:rsidR="004D2CAF" w:rsidRDefault="004D2CAF" w:rsidP="00EE445D">
            <w:pPr>
              <w:pStyle w:val="Footer"/>
              <w:pBdr>
                <w:bottom w:val="double" w:sz="6" w:space="1" w:color="auto"/>
              </w:pBdr>
            </w:pPr>
          </w:p>
          <w:p w:rsidR="004D2CAF" w:rsidRDefault="004D2CAF" w:rsidP="00EE445D">
            <w:pPr>
              <w:pStyle w:val="Footer"/>
            </w:pPr>
          </w:p>
          <w:p w:rsidR="004D2CAF" w:rsidRDefault="004D2CAF" w:rsidP="0026511D">
            <w:pPr>
              <w:pStyle w:val="Footer"/>
            </w:pPr>
            <w:r w:rsidRPr="007A7D91">
              <w:rPr>
                <w:b/>
                <w:sz w:val="22"/>
                <w:szCs w:val="22"/>
                <w:lang w:val="en-GB"/>
              </w:rPr>
              <w:t xml:space="preserve">(Ref: </w:t>
            </w:r>
            <w:r w:rsidR="002A44CE" w:rsidRPr="007A7D91">
              <w:rPr>
                <w:b/>
                <w:sz w:val="22"/>
                <w:szCs w:val="22"/>
                <w:lang w:val="en-GB"/>
              </w:rPr>
              <w:t>EDU</w:t>
            </w:r>
            <w:r w:rsidRPr="007A7D91">
              <w:rPr>
                <w:b/>
                <w:sz w:val="22"/>
                <w:szCs w:val="22"/>
                <w:lang w:val="en-GB"/>
              </w:rPr>
              <w:t>/TURA/201</w:t>
            </w:r>
            <w:r w:rsidR="002A44CE" w:rsidRPr="007A7D91">
              <w:rPr>
                <w:b/>
                <w:sz w:val="22"/>
                <w:szCs w:val="22"/>
                <w:lang w:val="en-GB"/>
              </w:rPr>
              <w:t>7</w:t>
            </w:r>
            <w:r w:rsidRPr="007A7D91">
              <w:rPr>
                <w:b/>
                <w:sz w:val="22"/>
                <w:szCs w:val="22"/>
                <w:lang w:val="en-GB"/>
              </w:rPr>
              <w:t>-</w:t>
            </w:r>
            <w:r w:rsidR="0026511D" w:rsidRPr="007A7D91">
              <w:rPr>
                <w:b/>
                <w:sz w:val="22"/>
                <w:szCs w:val="22"/>
                <w:lang w:val="en-GB"/>
              </w:rPr>
              <w:t>D</w:t>
            </w:r>
            <w:r w:rsidRPr="007A7D91">
              <w:rPr>
                <w:b/>
                <w:sz w:val="22"/>
                <w:szCs w:val="22"/>
                <w:lang w:val="en-GB"/>
              </w:rPr>
              <w:t>)</w:t>
            </w:r>
            <w:r>
              <w:rPr>
                <w:rFonts w:asciiTheme="minorHAnsi" w:hAnsiTheme="minorHAnsi" w:cstheme="minorHAnsi"/>
                <w:b/>
                <w:szCs w:val="24"/>
              </w:rPr>
              <w:tab/>
            </w:r>
            <w:r>
              <w:rPr>
                <w:rFonts w:asciiTheme="minorHAnsi" w:hAnsiTheme="minorHAnsi" w:cstheme="minorHAnsi"/>
                <w:b/>
                <w:szCs w:val="24"/>
              </w:rPr>
              <w:tab/>
            </w:r>
            <w:r w:rsidRPr="00EE445D">
              <w:rPr>
                <w:rFonts w:asciiTheme="minorHAnsi" w:hAnsiTheme="minorHAnsi" w:cstheme="minorHAnsi"/>
                <w:sz w:val="20"/>
              </w:rPr>
              <w:t xml:space="preserve">Page </w:t>
            </w:r>
            <w:r w:rsidR="00F23695" w:rsidRPr="00EE445D">
              <w:rPr>
                <w:rFonts w:asciiTheme="minorHAnsi" w:hAnsiTheme="minorHAnsi" w:cstheme="minorHAnsi"/>
                <w:bCs/>
                <w:sz w:val="20"/>
              </w:rPr>
              <w:fldChar w:fldCharType="begin"/>
            </w:r>
            <w:r w:rsidRPr="00EE445D">
              <w:rPr>
                <w:rFonts w:asciiTheme="minorHAnsi" w:hAnsiTheme="minorHAnsi" w:cstheme="minorHAnsi"/>
                <w:bCs/>
                <w:sz w:val="20"/>
              </w:rPr>
              <w:instrText xml:space="preserve"> PAGE </w:instrText>
            </w:r>
            <w:r w:rsidR="00F23695" w:rsidRPr="00EE445D">
              <w:rPr>
                <w:rFonts w:asciiTheme="minorHAnsi" w:hAnsiTheme="minorHAnsi" w:cstheme="minorHAnsi"/>
                <w:bCs/>
                <w:sz w:val="20"/>
              </w:rPr>
              <w:fldChar w:fldCharType="separate"/>
            </w:r>
            <w:r w:rsidR="00B67C06">
              <w:rPr>
                <w:rFonts w:asciiTheme="minorHAnsi" w:hAnsiTheme="minorHAnsi" w:cstheme="minorHAnsi"/>
                <w:bCs/>
                <w:noProof/>
                <w:sz w:val="20"/>
              </w:rPr>
              <w:t>5</w:t>
            </w:r>
            <w:r w:rsidR="00F23695" w:rsidRPr="00EE445D">
              <w:rPr>
                <w:rFonts w:asciiTheme="minorHAnsi" w:hAnsiTheme="minorHAnsi" w:cstheme="minorHAnsi"/>
                <w:bCs/>
                <w:sz w:val="20"/>
              </w:rPr>
              <w:fldChar w:fldCharType="end"/>
            </w:r>
            <w:r w:rsidRPr="00EE445D">
              <w:rPr>
                <w:rFonts w:asciiTheme="minorHAnsi" w:hAnsiTheme="minorHAnsi" w:cstheme="minorHAnsi"/>
                <w:sz w:val="20"/>
              </w:rPr>
              <w:t xml:space="preserve"> of </w:t>
            </w:r>
            <w:r w:rsidR="00F23695" w:rsidRPr="00EE445D">
              <w:rPr>
                <w:rFonts w:asciiTheme="minorHAnsi" w:hAnsiTheme="minorHAnsi" w:cstheme="minorHAnsi"/>
                <w:bCs/>
                <w:sz w:val="20"/>
              </w:rPr>
              <w:fldChar w:fldCharType="begin"/>
            </w:r>
            <w:r w:rsidRPr="00EE445D">
              <w:rPr>
                <w:rFonts w:asciiTheme="minorHAnsi" w:hAnsiTheme="minorHAnsi" w:cstheme="minorHAnsi"/>
                <w:bCs/>
                <w:sz w:val="20"/>
              </w:rPr>
              <w:instrText xml:space="preserve"> NUMPAGES  </w:instrText>
            </w:r>
            <w:r w:rsidR="00F23695" w:rsidRPr="00EE445D">
              <w:rPr>
                <w:rFonts w:asciiTheme="minorHAnsi" w:hAnsiTheme="minorHAnsi" w:cstheme="minorHAnsi"/>
                <w:bCs/>
                <w:sz w:val="20"/>
              </w:rPr>
              <w:fldChar w:fldCharType="separate"/>
            </w:r>
            <w:r w:rsidR="00B67C06">
              <w:rPr>
                <w:rFonts w:asciiTheme="minorHAnsi" w:hAnsiTheme="minorHAnsi" w:cstheme="minorHAnsi"/>
                <w:bCs/>
                <w:noProof/>
                <w:sz w:val="20"/>
              </w:rPr>
              <w:t>5</w:t>
            </w:r>
            <w:r w:rsidR="00F23695" w:rsidRPr="00EE445D">
              <w:rPr>
                <w:rFonts w:asciiTheme="minorHAnsi" w:hAnsiTheme="minorHAnsi" w:cstheme="minorHAnsi"/>
                <w:bCs/>
                <w:sz w:val="20"/>
              </w:rPr>
              <w:fldChar w:fldCharType="end"/>
            </w:r>
          </w:p>
        </w:sdtContent>
      </w:sdt>
    </w:sdtContent>
  </w:sdt>
  <w:p w:rsidR="004D2CAF" w:rsidRDefault="0026511D" w:rsidP="007A7D91">
    <w:pPr>
      <w:pStyle w:val="Footer"/>
      <w:tabs>
        <w:tab w:val="clear" w:pos="4536"/>
        <w:tab w:val="clear" w:pos="9072"/>
        <w:tab w:val="left" w:pos="5793"/>
        <w:tab w:val="left" w:pos="6212"/>
      </w:tabs>
    </w:pPr>
    <w:r>
      <w:tab/>
    </w:r>
    <w:r w:rsidR="007A7D91">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AF" w:rsidRPr="005B0932" w:rsidRDefault="004D2CAF">
    <w:pPr>
      <w:pStyle w:val="Footer"/>
      <w:rPr>
        <w:sz w:val="16"/>
        <w:szCs w:val="16"/>
      </w:rPr>
    </w:pPr>
    <w:r w:rsidRPr="005B0932">
      <w:rPr>
        <w:rFonts w:asciiTheme="minorHAnsi" w:hAnsiTheme="minorHAnsi" w:cstheme="minorHAnsi"/>
        <w:b/>
        <w:sz w:val="16"/>
        <w:szCs w:val="16"/>
      </w:rPr>
      <w:t>REF: ToR-TURA-2012-01</w:t>
    </w:r>
  </w:p>
  <w:p w:rsidR="004D2CAF" w:rsidRDefault="004D2C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0BC8" w:rsidRDefault="003A0BC8" w:rsidP="009D631A">
      <w:r>
        <w:separator/>
      </w:r>
    </w:p>
  </w:footnote>
  <w:footnote w:type="continuationSeparator" w:id="0">
    <w:p w:rsidR="003A0BC8" w:rsidRDefault="003A0BC8" w:rsidP="009D63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AF" w:rsidRDefault="004D2CAF" w:rsidP="009D631A">
    <w:pPr>
      <w:pStyle w:val="Header"/>
      <w:jc w:val="center"/>
    </w:pPr>
    <w:r>
      <w:rPr>
        <w:noProof/>
        <w:snapToGrid/>
        <w:lang w:val="en-US"/>
      </w:rPr>
      <w:drawing>
        <wp:anchor distT="0" distB="0" distL="114300" distR="114300" simplePos="0" relativeHeight="251659264" behindDoc="0" locked="0" layoutInCell="1" allowOverlap="1" wp14:anchorId="0152FD89" wp14:editId="67D52EA8">
          <wp:simplePos x="0" y="0"/>
          <wp:positionH relativeFrom="column">
            <wp:posOffset>-490144</wp:posOffset>
          </wp:positionH>
          <wp:positionV relativeFrom="paragraph">
            <wp:posOffset>-237439</wp:posOffset>
          </wp:positionV>
          <wp:extent cx="6810375" cy="462458"/>
          <wp:effectExtent l="0" t="0" r="0" b="0"/>
          <wp:wrapNone/>
          <wp:docPr id="23" name="Picture 23" descr="Unitepluslogo_En_Bl_012520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itepluslogo_En_Bl_0125200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6811" cy="465611"/>
                  </a:xfrm>
                  <a:prstGeom prst="rect">
                    <a:avLst/>
                  </a:prstGeom>
                  <a:noFill/>
                  <a:ln>
                    <a:noFill/>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2CAF" w:rsidRDefault="004D2CAF" w:rsidP="004400DA">
    <w:pPr>
      <w:pStyle w:val="Header"/>
      <w:jc w:val="center"/>
    </w:pPr>
    <w:r>
      <w:rPr>
        <w:noProof/>
        <w:lang w:val="en-US"/>
      </w:rPr>
      <w:drawing>
        <wp:inline distT="0" distB="0" distL="0" distR="0" wp14:anchorId="786BE495" wp14:editId="5E2D0F9A">
          <wp:extent cx="676275" cy="800100"/>
          <wp:effectExtent l="0" t="0" r="9525" b="0"/>
          <wp:docPr id="24"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9184" cy="80354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A4780"/>
    <w:multiLevelType w:val="hybridMultilevel"/>
    <w:tmpl w:val="86CCC4F4"/>
    <w:lvl w:ilvl="0" w:tplc="1C6CA4B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6153A"/>
    <w:multiLevelType w:val="hybridMultilevel"/>
    <w:tmpl w:val="286E81E8"/>
    <w:lvl w:ilvl="0" w:tplc="04090001">
      <w:start w:val="1"/>
      <w:numFmt w:val="bullet"/>
      <w:lvlText w:val=""/>
      <w:lvlJc w:val="left"/>
      <w:pPr>
        <w:ind w:left="720" w:hanging="360"/>
      </w:pPr>
      <w:rPr>
        <w:rFonts w:ascii="Symbol" w:hAnsi="Symbo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245318"/>
    <w:multiLevelType w:val="hybridMultilevel"/>
    <w:tmpl w:val="FB6C1A36"/>
    <w:lvl w:ilvl="0" w:tplc="04090001">
      <w:start w:val="1"/>
      <w:numFmt w:val="bullet"/>
      <w:lvlText w:val=""/>
      <w:lvlJc w:val="left"/>
      <w:pPr>
        <w:ind w:left="1428" w:hanging="360"/>
      </w:pPr>
      <w:rPr>
        <w:rFonts w:ascii="Symbol" w:hAnsi="Symbol"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3" w15:restartNumberingAfterBreak="0">
    <w:nsid w:val="28D80EC6"/>
    <w:multiLevelType w:val="hybridMultilevel"/>
    <w:tmpl w:val="E8CA2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BDC4C72"/>
    <w:multiLevelType w:val="hybridMultilevel"/>
    <w:tmpl w:val="DF763A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FA2339"/>
    <w:multiLevelType w:val="hybridMultilevel"/>
    <w:tmpl w:val="0F50E420"/>
    <w:lvl w:ilvl="0" w:tplc="04090001">
      <w:start w:val="1"/>
      <w:numFmt w:val="bullet"/>
      <w:lvlText w:val=""/>
      <w:lvlJc w:val="left"/>
      <w:pPr>
        <w:ind w:left="720" w:hanging="360"/>
      </w:pPr>
      <w:rPr>
        <w:rFonts w:ascii="Symbol" w:hAnsi="Symbol"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61717C5"/>
    <w:multiLevelType w:val="hybridMultilevel"/>
    <w:tmpl w:val="1D1406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5D914CF"/>
    <w:multiLevelType w:val="hybridMultilevel"/>
    <w:tmpl w:val="3B1AC4A2"/>
    <w:lvl w:ilvl="0" w:tplc="356CE820">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8CB045C"/>
    <w:multiLevelType w:val="hybridMultilevel"/>
    <w:tmpl w:val="13DE7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CB50290"/>
    <w:multiLevelType w:val="hybridMultilevel"/>
    <w:tmpl w:val="E87EAA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7"/>
  </w:num>
  <w:num w:numId="3">
    <w:abstractNumId w:val="3"/>
  </w:num>
  <w:num w:numId="4">
    <w:abstractNumId w:val="8"/>
  </w:num>
  <w:num w:numId="5">
    <w:abstractNumId w:val="4"/>
  </w:num>
  <w:num w:numId="6">
    <w:abstractNumId w:val="6"/>
  </w:num>
  <w:num w:numId="7">
    <w:abstractNumId w:val="2"/>
  </w:num>
  <w:num w:numId="8">
    <w:abstractNumId w:val="1"/>
  </w:num>
  <w:num w:numId="9">
    <w:abstractNumId w:val="9"/>
  </w:num>
  <w:num w:numId="10">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31A"/>
    <w:rsid w:val="00002374"/>
    <w:rsid w:val="0000395E"/>
    <w:rsid w:val="00005CCB"/>
    <w:rsid w:val="00006F42"/>
    <w:rsid w:val="00010051"/>
    <w:rsid w:val="00011B27"/>
    <w:rsid w:val="00012A8D"/>
    <w:rsid w:val="00012F4A"/>
    <w:rsid w:val="0001389F"/>
    <w:rsid w:val="00014373"/>
    <w:rsid w:val="00014528"/>
    <w:rsid w:val="00020850"/>
    <w:rsid w:val="00021867"/>
    <w:rsid w:val="00023D72"/>
    <w:rsid w:val="00027BE9"/>
    <w:rsid w:val="00034DC3"/>
    <w:rsid w:val="00037798"/>
    <w:rsid w:val="000404FC"/>
    <w:rsid w:val="00040FE8"/>
    <w:rsid w:val="00045B53"/>
    <w:rsid w:val="00045D5E"/>
    <w:rsid w:val="000461EE"/>
    <w:rsid w:val="0004729B"/>
    <w:rsid w:val="000472DB"/>
    <w:rsid w:val="0004797D"/>
    <w:rsid w:val="000559BC"/>
    <w:rsid w:val="000565FB"/>
    <w:rsid w:val="000569F7"/>
    <w:rsid w:val="000619CC"/>
    <w:rsid w:val="000621BD"/>
    <w:rsid w:val="00064889"/>
    <w:rsid w:val="00064CA8"/>
    <w:rsid w:val="000713EF"/>
    <w:rsid w:val="000724FC"/>
    <w:rsid w:val="000730B0"/>
    <w:rsid w:val="00074C89"/>
    <w:rsid w:val="000766D9"/>
    <w:rsid w:val="0008085A"/>
    <w:rsid w:val="00080B57"/>
    <w:rsid w:val="00081AA8"/>
    <w:rsid w:val="00081E87"/>
    <w:rsid w:val="00082280"/>
    <w:rsid w:val="0008295A"/>
    <w:rsid w:val="00082E88"/>
    <w:rsid w:val="0009012B"/>
    <w:rsid w:val="00092368"/>
    <w:rsid w:val="000942B6"/>
    <w:rsid w:val="00095A49"/>
    <w:rsid w:val="00095D2D"/>
    <w:rsid w:val="00095E5E"/>
    <w:rsid w:val="00096564"/>
    <w:rsid w:val="000A0EC2"/>
    <w:rsid w:val="000A52E9"/>
    <w:rsid w:val="000A57E7"/>
    <w:rsid w:val="000B07B0"/>
    <w:rsid w:val="000B1412"/>
    <w:rsid w:val="000B14F6"/>
    <w:rsid w:val="000B1BB8"/>
    <w:rsid w:val="000B2B02"/>
    <w:rsid w:val="000B3DEB"/>
    <w:rsid w:val="000B5E77"/>
    <w:rsid w:val="000C167C"/>
    <w:rsid w:val="000C1892"/>
    <w:rsid w:val="000D43A5"/>
    <w:rsid w:val="000D5FFF"/>
    <w:rsid w:val="000E13B4"/>
    <w:rsid w:val="000E738E"/>
    <w:rsid w:val="000F1951"/>
    <w:rsid w:val="000F731C"/>
    <w:rsid w:val="000F7D75"/>
    <w:rsid w:val="000F7EDD"/>
    <w:rsid w:val="00105824"/>
    <w:rsid w:val="00110B5F"/>
    <w:rsid w:val="00112020"/>
    <w:rsid w:val="001142A1"/>
    <w:rsid w:val="0011541F"/>
    <w:rsid w:val="00115898"/>
    <w:rsid w:val="001233AE"/>
    <w:rsid w:val="0012599D"/>
    <w:rsid w:val="00127CE7"/>
    <w:rsid w:val="001344D3"/>
    <w:rsid w:val="00136F8C"/>
    <w:rsid w:val="00144364"/>
    <w:rsid w:val="001526BE"/>
    <w:rsid w:val="001626BD"/>
    <w:rsid w:val="001627B2"/>
    <w:rsid w:val="001647EA"/>
    <w:rsid w:val="00165654"/>
    <w:rsid w:val="001714DB"/>
    <w:rsid w:val="00171A01"/>
    <w:rsid w:val="0017472D"/>
    <w:rsid w:val="0017581E"/>
    <w:rsid w:val="00177956"/>
    <w:rsid w:val="00192E46"/>
    <w:rsid w:val="0019601E"/>
    <w:rsid w:val="001A775F"/>
    <w:rsid w:val="001B051D"/>
    <w:rsid w:val="001B1A27"/>
    <w:rsid w:val="001B1D19"/>
    <w:rsid w:val="001B357E"/>
    <w:rsid w:val="001B43A0"/>
    <w:rsid w:val="001B4B40"/>
    <w:rsid w:val="001B4FED"/>
    <w:rsid w:val="001B5255"/>
    <w:rsid w:val="001B6CCE"/>
    <w:rsid w:val="001B7625"/>
    <w:rsid w:val="001B7995"/>
    <w:rsid w:val="001C3210"/>
    <w:rsid w:val="001C45C0"/>
    <w:rsid w:val="001C5F32"/>
    <w:rsid w:val="001D334E"/>
    <w:rsid w:val="001E357E"/>
    <w:rsid w:val="001E3E8E"/>
    <w:rsid w:val="001E434C"/>
    <w:rsid w:val="001E43B0"/>
    <w:rsid w:val="001E6039"/>
    <w:rsid w:val="001E63CD"/>
    <w:rsid w:val="001F119C"/>
    <w:rsid w:val="001F2CF0"/>
    <w:rsid w:val="001F34A4"/>
    <w:rsid w:val="002015ED"/>
    <w:rsid w:val="00204624"/>
    <w:rsid w:val="0020479C"/>
    <w:rsid w:val="00211639"/>
    <w:rsid w:val="00212CCB"/>
    <w:rsid w:val="002150B0"/>
    <w:rsid w:val="0021539C"/>
    <w:rsid w:val="00215FD2"/>
    <w:rsid w:val="00221FAB"/>
    <w:rsid w:val="0022683C"/>
    <w:rsid w:val="00227E29"/>
    <w:rsid w:val="002358EB"/>
    <w:rsid w:val="00240880"/>
    <w:rsid w:val="002413DC"/>
    <w:rsid w:val="0024600C"/>
    <w:rsid w:val="00250256"/>
    <w:rsid w:val="002515FA"/>
    <w:rsid w:val="00257757"/>
    <w:rsid w:val="002603C7"/>
    <w:rsid w:val="0026331B"/>
    <w:rsid w:val="002643DA"/>
    <w:rsid w:val="0026511D"/>
    <w:rsid w:val="0026513D"/>
    <w:rsid w:val="0027015C"/>
    <w:rsid w:val="0027137A"/>
    <w:rsid w:val="00272905"/>
    <w:rsid w:val="00281548"/>
    <w:rsid w:val="0028164F"/>
    <w:rsid w:val="00286D63"/>
    <w:rsid w:val="00290B62"/>
    <w:rsid w:val="002952DC"/>
    <w:rsid w:val="00296C43"/>
    <w:rsid w:val="002A44CE"/>
    <w:rsid w:val="002A5BF6"/>
    <w:rsid w:val="002B2E1E"/>
    <w:rsid w:val="002B44B6"/>
    <w:rsid w:val="002B6CB4"/>
    <w:rsid w:val="002C1BDE"/>
    <w:rsid w:val="002C3020"/>
    <w:rsid w:val="002D0043"/>
    <w:rsid w:val="002D1BE9"/>
    <w:rsid w:val="002D2272"/>
    <w:rsid w:val="002E0198"/>
    <w:rsid w:val="002E4E91"/>
    <w:rsid w:val="002F020D"/>
    <w:rsid w:val="002F171B"/>
    <w:rsid w:val="002F2937"/>
    <w:rsid w:val="002F7213"/>
    <w:rsid w:val="002F74AF"/>
    <w:rsid w:val="00307B62"/>
    <w:rsid w:val="00310DD1"/>
    <w:rsid w:val="003119A7"/>
    <w:rsid w:val="003160D7"/>
    <w:rsid w:val="00320FE1"/>
    <w:rsid w:val="00322793"/>
    <w:rsid w:val="00323BA0"/>
    <w:rsid w:val="00330745"/>
    <w:rsid w:val="003357A1"/>
    <w:rsid w:val="003406F5"/>
    <w:rsid w:val="00342478"/>
    <w:rsid w:val="00342F99"/>
    <w:rsid w:val="003452B4"/>
    <w:rsid w:val="00352AE9"/>
    <w:rsid w:val="003541B4"/>
    <w:rsid w:val="00354DFA"/>
    <w:rsid w:val="003552A0"/>
    <w:rsid w:val="00355F7C"/>
    <w:rsid w:val="00356DF8"/>
    <w:rsid w:val="00356E79"/>
    <w:rsid w:val="003604AC"/>
    <w:rsid w:val="00362104"/>
    <w:rsid w:val="00362CDC"/>
    <w:rsid w:val="0036507A"/>
    <w:rsid w:val="0036629A"/>
    <w:rsid w:val="00367717"/>
    <w:rsid w:val="003700B4"/>
    <w:rsid w:val="003743B6"/>
    <w:rsid w:val="00374EF7"/>
    <w:rsid w:val="00375B2B"/>
    <w:rsid w:val="003852BE"/>
    <w:rsid w:val="00387872"/>
    <w:rsid w:val="0039112F"/>
    <w:rsid w:val="003916FD"/>
    <w:rsid w:val="003927F7"/>
    <w:rsid w:val="003A00CD"/>
    <w:rsid w:val="003A02CF"/>
    <w:rsid w:val="003A0BC8"/>
    <w:rsid w:val="003A64B3"/>
    <w:rsid w:val="003B1D22"/>
    <w:rsid w:val="003B3E4A"/>
    <w:rsid w:val="003B7822"/>
    <w:rsid w:val="003C4367"/>
    <w:rsid w:val="003D0104"/>
    <w:rsid w:val="003D29C7"/>
    <w:rsid w:val="003D5036"/>
    <w:rsid w:val="003E01AD"/>
    <w:rsid w:val="003E02A8"/>
    <w:rsid w:val="003E1AFF"/>
    <w:rsid w:val="003E23BF"/>
    <w:rsid w:val="003E6CC1"/>
    <w:rsid w:val="003F08CD"/>
    <w:rsid w:val="003F1568"/>
    <w:rsid w:val="003F164B"/>
    <w:rsid w:val="003F3EE3"/>
    <w:rsid w:val="003F5BE2"/>
    <w:rsid w:val="00401F49"/>
    <w:rsid w:val="004032ED"/>
    <w:rsid w:val="00405980"/>
    <w:rsid w:val="004059E8"/>
    <w:rsid w:val="0041163C"/>
    <w:rsid w:val="0041359A"/>
    <w:rsid w:val="00413643"/>
    <w:rsid w:val="00420382"/>
    <w:rsid w:val="00420435"/>
    <w:rsid w:val="004231DD"/>
    <w:rsid w:val="00433B76"/>
    <w:rsid w:val="0043617E"/>
    <w:rsid w:val="004400DA"/>
    <w:rsid w:val="0044358C"/>
    <w:rsid w:val="0044593F"/>
    <w:rsid w:val="00445A93"/>
    <w:rsid w:val="0044799C"/>
    <w:rsid w:val="0045053D"/>
    <w:rsid w:val="00451A3E"/>
    <w:rsid w:val="0046072A"/>
    <w:rsid w:val="00460FF5"/>
    <w:rsid w:val="004636E3"/>
    <w:rsid w:val="00464E04"/>
    <w:rsid w:val="004753F4"/>
    <w:rsid w:val="00475B74"/>
    <w:rsid w:val="004831A8"/>
    <w:rsid w:val="00484FD6"/>
    <w:rsid w:val="0048535F"/>
    <w:rsid w:val="004A0E96"/>
    <w:rsid w:val="004A2086"/>
    <w:rsid w:val="004A2F35"/>
    <w:rsid w:val="004A4CC8"/>
    <w:rsid w:val="004A700B"/>
    <w:rsid w:val="004B15DB"/>
    <w:rsid w:val="004B399D"/>
    <w:rsid w:val="004B5D4D"/>
    <w:rsid w:val="004C0C08"/>
    <w:rsid w:val="004C10E3"/>
    <w:rsid w:val="004C3EFF"/>
    <w:rsid w:val="004D0EF9"/>
    <w:rsid w:val="004D1035"/>
    <w:rsid w:val="004D2CAF"/>
    <w:rsid w:val="004E5A46"/>
    <w:rsid w:val="004E72BB"/>
    <w:rsid w:val="004F2057"/>
    <w:rsid w:val="004F3520"/>
    <w:rsid w:val="004F4DEA"/>
    <w:rsid w:val="004F6A8E"/>
    <w:rsid w:val="00500356"/>
    <w:rsid w:val="005010FD"/>
    <w:rsid w:val="00502085"/>
    <w:rsid w:val="005051B9"/>
    <w:rsid w:val="00506A4B"/>
    <w:rsid w:val="005071A2"/>
    <w:rsid w:val="0051352E"/>
    <w:rsid w:val="00513891"/>
    <w:rsid w:val="005142B0"/>
    <w:rsid w:val="005157CC"/>
    <w:rsid w:val="005171C8"/>
    <w:rsid w:val="00520629"/>
    <w:rsid w:val="00524764"/>
    <w:rsid w:val="0052574D"/>
    <w:rsid w:val="00525E8A"/>
    <w:rsid w:val="00526446"/>
    <w:rsid w:val="00531352"/>
    <w:rsid w:val="00531748"/>
    <w:rsid w:val="00533252"/>
    <w:rsid w:val="00533814"/>
    <w:rsid w:val="0053559D"/>
    <w:rsid w:val="00537E22"/>
    <w:rsid w:val="00542946"/>
    <w:rsid w:val="00544D14"/>
    <w:rsid w:val="00544F35"/>
    <w:rsid w:val="0055560D"/>
    <w:rsid w:val="00557A37"/>
    <w:rsid w:val="00561370"/>
    <w:rsid w:val="00561B5A"/>
    <w:rsid w:val="00564D04"/>
    <w:rsid w:val="005673EE"/>
    <w:rsid w:val="00570F18"/>
    <w:rsid w:val="005758C9"/>
    <w:rsid w:val="00575FB8"/>
    <w:rsid w:val="00577FD5"/>
    <w:rsid w:val="005842F8"/>
    <w:rsid w:val="005843B9"/>
    <w:rsid w:val="00584915"/>
    <w:rsid w:val="00585316"/>
    <w:rsid w:val="005862BB"/>
    <w:rsid w:val="005909CA"/>
    <w:rsid w:val="005918F9"/>
    <w:rsid w:val="00593AE3"/>
    <w:rsid w:val="005972D2"/>
    <w:rsid w:val="005A098B"/>
    <w:rsid w:val="005A11FD"/>
    <w:rsid w:val="005A2DEA"/>
    <w:rsid w:val="005A3D53"/>
    <w:rsid w:val="005A5BAC"/>
    <w:rsid w:val="005B0932"/>
    <w:rsid w:val="005B1C78"/>
    <w:rsid w:val="005B2DF9"/>
    <w:rsid w:val="005B3A66"/>
    <w:rsid w:val="005C571E"/>
    <w:rsid w:val="005C65EE"/>
    <w:rsid w:val="005D06A3"/>
    <w:rsid w:val="005D22E1"/>
    <w:rsid w:val="005D26F7"/>
    <w:rsid w:val="005D3A5B"/>
    <w:rsid w:val="005D4D8C"/>
    <w:rsid w:val="005D58C3"/>
    <w:rsid w:val="005D6821"/>
    <w:rsid w:val="005D761A"/>
    <w:rsid w:val="005E17B8"/>
    <w:rsid w:val="005E1D2E"/>
    <w:rsid w:val="005E2416"/>
    <w:rsid w:val="005E4C83"/>
    <w:rsid w:val="005F677A"/>
    <w:rsid w:val="005F6CCA"/>
    <w:rsid w:val="005F7BA1"/>
    <w:rsid w:val="006002F9"/>
    <w:rsid w:val="00603445"/>
    <w:rsid w:val="006040DB"/>
    <w:rsid w:val="0061077A"/>
    <w:rsid w:val="00610D5F"/>
    <w:rsid w:val="00610FAA"/>
    <w:rsid w:val="0061268A"/>
    <w:rsid w:val="006128F7"/>
    <w:rsid w:val="006143BF"/>
    <w:rsid w:val="00614E5C"/>
    <w:rsid w:val="006159E3"/>
    <w:rsid w:val="006209E6"/>
    <w:rsid w:val="00621955"/>
    <w:rsid w:val="00622939"/>
    <w:rsid w:val="0062458A"/>
    <w:rsid w:val="00626D1E"/>
    <w:rsid w:val="00627913"/>
    <w:rsid w:val="00627D30"/>
    <w:rsid w:val="006348F6"/>
    <w:rsid w:val="006363B5"/>
    <w:rsid w:val="00637489"/>
    <w:rsid w:val="006421C4"/>
    <w:rsid w:val="00642649"/>
    <w:rsid w:val="006461FD"/>
    <w:rsid w:val="0065311B"/>
    <w:rsid w:val="0066438A"/>
    <w:rsid w:val="00664AAA"/>
    <w:rsid w:val="00665905"/>
    <w:rsid w:val="00666321"/>
    <w:rsid w:val="006702AE"/>
    <w:rsid w:val="006709F0"/>
    <w:rsid w:val="006714B1"/>
    <w:rsid w:val="006767C9"/>
    <w:rsid w:val="00676B3E"/>
    <w:rsid w:val="00683B0B"/>
    <w:rsid w:val="00683F50"/>
    <w:rsid w:val="00690232"/>
    <w:rsid w:val="00696D6C"/>
    <w:rsid w:val="0069799A"/>
    <w:rsid w:val="006A057E"/>
    <w:rsid w:val="006B6DBD"/>
    <w:rsid w:val="006C331C"/>
    <w:rsid w:val="006C4341"/>
    <w:rsid w:val="006D1C67"/>
    <w:rsid w:val="006D1DDA"/>
    <w:rsid w:val="006E617B"/>
    <w:rsid w:val="006F024E"/>
    <w:rsid w:val="006F233F"/>
    <w:rsid w:val="006F3A56"/>
    <w:rsid w:val="006F4ACD"/>
    <w:rsid w:val="006F50A4"/>
    <w:rsid w:val="006F6678"/>
    <w:rsid w:val="006F6CDC"/>
    <w:rsid w:val="006F6F8B"/>
    <w:rsid w:val="0070065A"/>
    <w:rsid w:val="00700AFF"/>
    <w:rsid w:val="007026C8"/>
    <w:rsid w:val="00711B78"/>
    <w:rsid w:val="00713C67"/>
    <w:rsid w:val="00720055"/>
    <w:rsid w:val="00722F64"/>
    <w:rsid w:val="00724B5B"/>
    <w:rsid w:val="00726E69"/>
    <w:rsid w:val="00731879"/>
    <w:rsid w:val="007376DF"/>
    <w:rsid w:val="00740D06"/>
    <w:rsid w:val="0074382D"/>
    <w:rsid w:val="00751D67"/>
    <w:rsid w:val="00756359"/>
    <w:rsid w:val="00760314"/>
    <w:rsid w:val="007604DD"/>
    <w:rsid w:val="00760754"/>
    <w:rsid w:val="00767436"/>
    <w:rsid w:val="007677BC"/>
    <w:rsid w:val="0077160B"/>
    <w:rsid w:val="0077293D"/>
    <w:rsid w:val="00772A2E"/>
    <w:rsid w:val="00773835"/>
    <w:rsid w:val="007744AF"/>
    <w:rsid w:val="00775163"/>
    <w:rsid w:val="007774E0"/>
    <w:rsid w:val="00777D08"/>
    <w:rsid w:val="00784EAE"/>
    <w:rsid w:val="00794C6B"/>
    <w:rsid w:val="007A071E"/>
    <w:rsid w:val="007A1C6F"/>
    <w:rsid w:val="007A1D10"/>
    <w:rsid w:val="007A7D91"/>
    <w:rsid w:val="007B3F37"/>
    <w:rsid w:val="007B4656"/>
    <w:rsid w:val="007C26FB"/>
    <w:rsid w:val="007E0D55"/>
    <w:rsid w:val="007E37E7"/>
    <w:rsid w:val="007F1654"/>
    <w:rsid w:val="007F21C5"/>
    <w:rsid w:val="007F2BE9"/>
    <w:rsid w:val="007F360F"/>
    <w:rsid w:val="007F38BF"/>
    <w:rsid w:val="007F483B"/>
    <w:rsid w:val="007F6B97"/>
    <w:rsid w:val="008014A3"/>
    <w:rsid w:val="008037D1"/>
    <w:rsid w:val="00805698"/>
    <w:rsid w:val="00805845"/>
    <w:rsid w:val="00807A57"/>
    <w:rsid w:val="008130D2"/>
    <w:rsid w:val="00817274"/>
    <w:rsid w:val="0082247C"/>
    <w:rsid w:val="008227F2"/>
    <w:rsid w:val="00823A0D"/>
    <w:rsid w:val="00824078"/>
    <w:rsid w:val="008250BB"/>
    <w:rsid w:val="008264E1"/>
    <w:rsid w:val="00826827"/>
    <w:rsid w:val="0083047C"/>
    <w:rsid w:val="00832D17"/>
    <w:rsid w:val="00835292"/>
    <w:rsid w:val="00835371"/>
    <w:rsid w:val="008406D9"/>
    <w:rsid w:val="008429B6"/>
    <w:rsid w:val="008430D2"/>
    <w:rsid w:val="00845554"/>
    <w:rsid w:val="00853E33"/>
    <w:rsid w:val="00863559"/>
    <w:rsid w:val="00864AA0"/>
    <w:rsid w:val="00864DEA"/>
    <w:rsid w:val="008654B7"/>
    <w:rsid w:val="00870444"/>
    <w:rsid w:val="0087071A"/>
    <w:rsid w:val="008901BD"/>
    <w:rsid w:val="00891137"/>
    <w:rsid w:val="008922F9"/>
    <w:rsid w:val="00892822"/>
    <w:rsid w:val="00897D26"/>
    <w:rsid w:val="008A0AAB"/>
    <w:rsid w:val="008A57B5"/>
    <w:rsid w:val="008B2426"/>
    <w:rsid w:val="008B3A60"/>
    <w:rsid w:val="008C14D2"/>
    <w:rsid w:val="008D19B2"/>
    <w:rsid w:val="008D388C"/>
    <w:rsid w:val="008D4E32"/>
    <w:rsid w:val="008E408B"/>
    <w:rsid w:val="008E50DB"/>
    <w:rsid w:val="008E5DEE"/>
    <w:rsid w:val="008E782B"/>
    <w:rsid w:val="008F3C0F"/>
    <w:rsid w:val="008F6DF0"/>
    <w:rsid w:val="00900A03"/>
    <w:rsid w:val="0090477D"/>
    <w:rsid w:val="0090753C"/>
    <w:rsid w:val="009129B3"/>
    <w:rsid w:val="00912BC2"/>
    <w:rsid w:val="00913072"/>
    <w:rsid w:val="00916766"/>
    <w:rsid w:val="00917D87"/>
    <w:rsid w:val="009242D2"/>
    <w:rsid w:val="00924C0B"/>
    <w:rsid w:val="009331DE"/>
    <w:rsid w:val="00934359"/>
    <w:rsid w:val="00942114"/>
    <w:rsid w:val="009428E4"/>
    <w:rsid w:val="009454DD"/>
    <w:rsid w:val="00950CEA"/>
    <w:rsid w:val="00953808"/>
    <w:rsid w:val="00953FD4"/>
    <w:rsid w:val="00956777"/>
    <w:rsid w:val="009605A1"/>
    <w:rsid w:val="009607BB"/>
    <w:rsid w:val="00965048"/>
    <w:rsid w:val="009663F9"/>
    <w:rsid w:val="00967A2E"/>
    <w:rsid w:val="009708B0"/>
    <w:rsid w:val="00972CEE"/>
    <w:rsid w:val="00973E0B"/>
    <w:rsid w:val="00980F4A"/>
    <w:rsid w:val="0098140E"/>
    <w:rsid w:val="00991FFC"/>
    <w:rsid w:val="00993406"/>
    <w:rsid w:val="009954C6"/>
    <w:rsid w:val="009963AB"/>
    <w:rsid w:val="009A1AD3"/>
    <w:rsid w:val="009A41FA"/>
    <w:rsid w:val="009A4303"/>
    <w:rsid w:val="009A6BE3"/>
    <w:rsid w:val="009B0876"/>
    <w:rsid w:val="009B1800"/>
    <w:rsid w:val="009B1FAC"/>
    <w:rsid w:val="009B3029"/>
    <w:rsid w:val="009B6458"/>
    <w:rsid w:val="009B696B"/>
    <w:rsid w:val="009C26E3"/>
    <w:rsid w:val="009C69E6"/>
    <w:rsid w:val="009D0010"/>
    <w:rsid w:val="009D26B9"/>
    <w:rsid w:val="009D631A"/>
    <w:rsid w:val="009D6E94"/>
    <w:rsid w:val="009D721C"/>
    <w:rsid w:val="009E0175"/>
    <w:rsid w:val="009E29CE"/>
    <w:rsid w:val="009E55F3"/>
    <w:rsid w:val="009E57D3"/>
    <w:rsid w:val="009E58C3"/>
    <w:rsid w:val="009E7C1C"/>
    <w:rsid w:val="009E7CBE"/>
    <w:rsid w:val="009F0B65"/>
    <w:rsid w:val="009F1301"/>
    <w:rsid w:val="009F2566"/>
    <w:rsid w:val="009F4158"/>
    <w:rsid w:val="009F51FA"/>
    <w:rsid w:val="00A03D2E"/>
    <w:rsid w:val="00A04524"/>
    <w:rsid w:val="00A0734A"/>
    <w:rsid w:val="00A14B8E"/>
    <w:rsid w:val="00A21493"/>
    <w:rsid w:val="00A2173F"/>
    <w:rsid w:val="00A245C7"/>
    <w:rsid w:val="00A26819"/>
    <w:rsid w:val="00A45CB3"/>
    <w:rsid w:val="00A45E2B"/>
    <w:rsid w:val="00A4621A"/>
    <w:rsid w:val="00A47199"/>
    <w:rsid w:val="00A51668"/>
    <w:rsid w:val="00A53C32"/>
    <w:rsid w:val="00A578D5"/>
    <w:rsid w:val="00A60538"/>
    <w:rsid w:val="00A610BD"/>
    <w:rsid w:val="00A7165F"/>
    <w:rsid w:val="00A770DF"/>
    <w:rsid w:val="00A77818"/>
    <w:rsid w:val="00A815CF"/>
    <w:rsid w:val="00A81C97"/>
    <w:rsid w:val="00A83592"/>
    <w:rsid w:val="00A858A4"/>
    <w:rsid w:val="00A85B8A"/>
    <w:rsid w:val="00A87B33"/>
    <w:rsid w:val="00A90F1C"/>
    <w:rsid w:val="00A92171"/>
    <w:rsid w:val="00A92B04"/>
    <w:rsid w:val="00A94E53"/>
    <w:rsid w:val="00A962F0"/>
    <w:rsid w:val="00AA0A8D"/>
    <w:rsid w:val="00AA488F"/>
    <w:rsid w:val="00AA7777"/>
    <w:rsid w:val="00AA79A6"/>
    <w:rsid w:val="00AB0619"/>
    <w:rsid w:val="00AB58DC"/>
    <w:rsid w:val="00AC2E7A"/>
    <w:rsid w:val="00AC5D18"/>
    <w:rsid w:val="00AC5DC2"/>
    <w:rsid w:val="00AC63E0"/>
    <w:rsid w:val="00AD6E71"/>
    <w:rsid w:val="00AE214B"/>
    <w:rsid w:val="00AE538E"/>
    <w:rsid w:val="00AE63CA"/>
    <w:rsid w:val="00AE7BCF"/>
    <w:rsid w:val="00AF361C"/>
    <w:rsid w:val="00AF438D"/>
    <w:rsid w:val="00AF4403"/>
    <w:rsid w:val="00B002A1"/>
    <w:rsid w:val="00B02DD4"/>
    <w:rsid w:val="00B042E3"/>
    <w:rsid w:val="00B06803"/>
    <w:rsid w:val="00B10E3F"/>
    <w:rsid w:val="00B122A8"/>
    <w:rsid w:val="00B12BE5"/>
    <w:rsid w:val="00B22187"/>
    <w:rsid w:val="00B24778"/>
    <w:rsid w:val="00B260BB"/>
    <w:rsid w:val="00B26B6F"/>
    <w:rsid w:val="00B2764F"/>
    <w:rsid w:val="00B306CE"/>
    <w:rsid w:val="00B345F7"/>
    <w:rsid w:val="00B407E5"/>
    <w:rsid w:val="00B4269E"/>
    <w:rsid w:val="00B43578"/>
    <w:rsid w:val="00B5012B"/>
    <w:rsid w:val="00B51603"/>
    <w:rsid w:val="00B521EA"/>
    <w:rsid w:val="00B54745"/>
    <w:rsid w:val="00B5636C"/>
    <w:rsid w:val="00B60FED"/>
    <w:rsid w:val="00B62A56"/>
    <w:rsid w:val="00B64E97"/>
    <w:rsid w:val="00B6725E"/>
    <w:rsid w:val="00B67C06"/>
    <w:rsid w:val="00B70704"/>
    <w:rsid w:val="00B73C06"/>
    <w:rsid w:val="00B7464B"/>
    <w:rsid w:val="00B800E7"/>
    <w:rsid w:val="00B800F5"/>
    <w:rsid w:val="00B83062"/>
    <w:rsid w:val="00B844F7"/>
    <w:rsid w:val="00B85544"/>
    <w:rsid w:val="00B87C5A"/>
    <w:rsid w:val="00B87DF7"/>
    <w:rsid w:val="00B90762"/>
    <w:rsid w:val="00B90FA5"/>
    <w:rsid w:val="00B9705C"/>
    <w:rsid w:val="00BA0D8B"/>
    <w:rsid w:val="00BA1B21"/>
    <w:rsid w:val="00BA3A6A"/>
    <w:rsid w:val="00BA5DEE"/>
    <w:rsid w:val="00BB0D14"/>
    <w:rsid w:val="00BB2898"/>
    <w:rsid w:val="00BB45B6"/>
    <w:rsid w:val="00BB7325"/>
    <w:rsid w:val="00BB7787"/>
    <w:rsid w:val="00BC1D10"/>
    <w:rsid w:val="00BC2005"/>
    <w:rsid w:val="00BC2783"/>
    <w:rsid w:val="00BC3186"/>
    <w:rsid w:val="00BC3E4A"/>
    <w:rsid w:val="00BC4C6A"/>
    <w:rsid w:val="00BD41A6"/>
    <w:rsid w:val="00BD47A0"/>
    <w:rsid w:val="00BD6A6A"/>
    <w:rsid w:val="00BE5FD9"/>
    <w:rsid w:val="00BE718A"/>
    <w:rsid w:val="00BF4B8A"/>
    <w:rsid w:val="00C01ED1"/>
    <w:rsid w:val="00C20BE9"/>
    <w:rsid w:val="00C239C5"/>
    <w:rsid w:val="00C265F7"/>
    <w:rsid w:val="00C30313"/>
    <w:rsid w:val="00C309CB"/>
    <w:rsid w:val="00C3301B"/>
    <w:rsid w:val="00C33890"/>
    <w:rsid w:val="00C34014"/>
    <w:rsid w:val="00C375D8"/>
    <w:rsid w:val="00C4012E"/>
    <w:rsid w:val="00C4085A"/>
    <w:rsid w:val="00C4762D"/>
    <w:rsid w:val="00C519CB"/>
    <w:rsid w:val="00C55CD7"/>
    <w:rsid w:val="00C5601A"/>
    <w:rsid w:val="00C5665F"/>
    <w:rsid w:val="00C567C7"/>
    <w:rsid w:val="00C62722"/>
    <w:rsid w:val="00C637B0"/>
    <w:rsid w:val="00C64CE9"/>
    <w:rsid w:val="00C712C6"/>
    <w:rsid w:val="00C717DE"/>
    <w:rsid w:val="00C76657"/>
    <w:rsid w:val="00C81DE7"/>
    <w:rsid w:val="00C85181"/>
    <w:rsid w:val="00C85EDF"/>
    <w:rsid w:val="00C92D0F"/>
    <w:rsid w:val="00C9344C"/>
    <w:rsid w:val="00C9402C"/>
    <w:rsid w:val="00C94843"/>
    <w:rsid w:val="00CA03B7"/>
    <w:rsid w:val="00CA07B7"/>
    <w:rsid w:val="00CA60F0"/>
    <w:rsid w:val="00CA6142"/>
    <w:rsid w:val="00CA7D4B"/>
    <w:rsid w:val="00CB1AB7"/>
    <w:rsid w:val="00CB6297"/>
    <w:rsid w:val="00CB6905"/>
    <w:rsid w:val="00CC0980"/>
    <w:rsid w:val="00CC38C0"/>
    <w:rsid w:val="00CD4411"/>
    <w:rsid w:val="00CD463B"/>
    <w:rsid w:val="00CD4671"/>
    <w:rsid w:val="00CD4EC9"/>
    <w:rsid w:val="00CD5C53"/>
    <w:rsid w:val="00CD705B"/>
    <w:rsid w:val="00CD74DC"/>
    <w:rsid w:val="00CE500B"/>
    <w:rsid w:val="00CE5F16"/>
    <w:rsid w:val="00CF0BDB"/>
    <w:rsid w:val="00CF125F"/>
    <w:rsid w:val="00CF4052"/>
    <w:rsid w:val="00CF41A0"/>
    <w:rsid w:val="00CF4D63"/>
    <w:rsid w:val="00CF6211"/>
    <w:rsid w:val="00CF76DB"/>
    <w:rsid w:val="00D00D80"/>
    <w:rsid w:val="00D1115F"/>
    <w:rsid w:val="00D1436B"/>
    <w:rsid w:val="00D22DD0"/>
    <w:rsid w:val="00D27EFF"/>
    <w:rsid w:val="00D35425"/>
    <w:rsid w:val="00D35E77"/>
    <w:rsid w:val="00D36EC0"/>
    <w:rsid w:val="00D40574"/>
    <w:rsid w:val="00D44B33"/>
    <w:rsid w:val="00D53EEC"/>
    <w:rsid w:val="00D60287"/>
    <w:rsid w:val="00D63830"/>
    <w:rsid w:val="00D647A7"/>
    <w:rsid w:val="00D64BB4"/>
    <w:rsid w:val="00D64C57"/>
    <w:rsid w:val="00D777B8"/>
    <w:rsid w:val="00D77EF0"/>
    <w:rsid w:val="00D80A47"/>
    <w:rsid w:val="00D81412"/>
    <w:rsid w:val="00D87361"/>
    <w:rsid w:val="00D87DD0"/>
    <w:rsid w:val="00D902CD"/>
    <w:rsid w:val="00D913E2"/>
    <w:rsid w:val="00D93842"/>
    <w:rsid w:val="00D95953"/>
    <w:rsid w:val="00DA1217"/>
    <w:rsid w:val="00DA1AC8"/>
    <w:rsid w:val="00DA2BEF"/>
    <w:rsid w:val="00DA37E6"/>
    <w:rsid w:val="00DA3BEF"/>
    <w:rsid w:val="00DA4C22"/>
    <w:rsid w:val="00DB0381"/>
    <w:rsid w:val="00DB2EA3"/>
    <w:rsid w:val="00DB4F18"/>
    <w:rsid w:val="00DB6801"/>
    <w:rsid w:val="00DC2351"/>
    <w:rsid w:val="00DC327E"/>
    <w:rsid w:val="00DC698D"/>
    <w:rsid w:val="00DD1785"/>
    <w:rsid w:val="00DE1BC5"/>
    <w:rsid w:val="00DF0BBB"/>
    <w:rsid w:val="00E050BA"/>
    <w:rsid w:val="00E05DB6"/>
    <w:rsid w:val="00E07218"/>
    <w:rsid w:val="00E10E6F"/>
    <w:rsid w:val="00E17D80"/>
    <w:rsid w:val="00E202CD"/>
    <w:rsid w:val="00E21493"/>
    <w:rsid w:val="00E2558F"/>
    <w:rsid w:val="00E25863"/>
    <w:rsid w:val="00E36794"/>
    <w:rsid w:val="00E3746A"/>
    <w:rsid w:val="00E419F4"/>
    <w:rsid w:val="00E42B46"/>
    <w:rsid w:val="00E43EB3"/>
    <w:rsid w:val="00E46994"/>
    <w:rsid w:val="00E4700B"/>
    <w:rsid w:val="00E51801"/>
    <w:rsid w:val="00E55135"/>
    <w:rsid w:val="00E56A10"/>
    <w:rsid w:val="00E57FEC"/>
    <w:rsid w:val="00E61AF3"/>
    <w:rsid w:val="00E659CE"/>
    <w:rsid w:val="00E7412B"/>
    <w:rsid w:val="00E75201"/>
    <w:rsid w:val="00E82C81"/>
    <w:rsid w:val="00E86940"/>
    <w:rsid w:val="00E87A9D"/>
    <w:rsid w:val="00E90F7A"/>
    <w:rsid w:val="00E9372B"/>
    <w:rsid w:val="00E95332"/>
    <w:rsid w:val="00E96293"/>
    <w:rsid w:val="00E97EFB"/>
    <w:rsid w:val="00EA1DB5"/>
    <w:rsid w:val="00EA235D"/>
    <w:rsid w:val="00EA28BC"/>
    <w:rsid w:val="00EA6295"/>
    <w:rsid w:val="00EA7CAC"/>
    <w:rsid w:val="00EB24D2"/>
    <w:rsid w:val="00EB2DC1"/>
    <w:rsid w:val="00EB4296"/>
    <w:rsid w:val="00EC19EC"/>
    <w:rsid w:val="00EC6480"/>
    <w:rsid w:val="00EC6AD9"/>
    <w:rsid w:val="00ED0070"/>
    <w:rsid w:val="00ED044F"/>
    <w:rsid w:val="00ED2238"/>
    <w:rsid w:val="00ED2304"/>
    <w:rsid w:val="00ED3FFA"/>
    <w:rsid w:val="00ED6EF8"/>
    <w:rsid w:val="00ED71FF"/>
    <w:rsid w:val="00ED7A16"/>
    <w:rsid w:val="00EE3405"/>
    <w:rsid w:val="00EE445D"/>
    <w:rsid w:val="00EF0BC7"/>
    <w:rsid w:val="00EF32BD"/>
    <w:rsid w:val="00EF4B3D"/>
    <w:rsid w:val="00EF75D3"/>
    <w:rsid w:val="00F01023"/>
    <w:rsid w:val="00F05FE0"/>
    <w:rsid w:val="00F071A1"/>
    <w:rsid w:val="00F0749B"/>
    <w:rsid w:val="00F07B39"/>
    <w:rsid w:val="00F113D2"/>
    <w:rsid w:val="00F11C5C"/>
    <w:rsid w:val="00F14D27"/>
    <w:rsid w:val="00F15FC0"/>
    <w:rsid w:val="00F167A5"/>
    <w:rsid w:val="00F16A9C"/>
    <w:rsid w:val="00F23695"/>
    <w:rsid w:val="00F251DA"/>
    <w:rsid w:val="00F262E3"/>
    <w:rsid w:val="00F27766"/>
    <w:rsid w:val="00F31DE4"/>
    <w:rsid w:val="00F357F0"/>
    <w:rsid w:val="00F364C7"/>
    <w:rsid w:val="00F37B5A"/>
    <w:rsid w:val="00F40180"/>
    <w:rsid w:val="00F53FE9"/>
    <w:rsid w:val="00F550A0"/>
    <w:rsid w:val="00F56FEF"/>
    <w:rsid w:val="00F60D40"/>
    <w:rsid w:val="00F61B6B"/>
    <w:rsid w:val="00F62427"/>
    <w:rsid w:val="00F624B8"/>
    <w:rsid w:val="00F627D2"/>
    <w:rsid w:val="00F62986"/>
    <w:rsid w:val="00F67B63"/>
    <w:rsid w:val="00F766CE"/>
    <w:rsid w:val="00F8019B"/>
    <w:rsid w:val="00F84CFD"/>
    <w:rsid w:val="00F86185"/>
    <w:rsid w:val="00F91B82"/>
    <w:rsid w:val="00F93209"/>
    <w:rsid w:val="00F95BFC"/>
    <w:rsid w:val="00FA028F"/>
    <w:rsid w:val="00FA2525"/>
    <w:rsid w:val="00FA3CF0"/>
    <w:rsid w:val="00FA7E89"/>
    <w:rsid w:val="00FB1712"/>
    <w:rsid w:val="00FC04D4"/>
    <w:rsid w:val="00FC0C96"/>
    <w:rsid w:val="00FC352C"/>
    <w:rsid w:val="00FC4D92"/>
    <w:rsid w:val="00FC5E74"/>
    <w:rsid w:val="00FC6435"/>
    <w:rsid w:val="00FD20DA"/>
    <w:rsid w:val="00FD2AF4"/>
    <w:rsid w:val="00FD6E60"/>
    <w:rsid w:val="00FE453C"/>
    <w:rsid w:val="00FE5612"/>
    <w:rsid w:val="00FE5ADD"/>
    <w:rsid w:val="00FF1E5C"/>
  </w:rsids>
  <m:mathPr>
    <m:mathFont m:val="Cambria Math"/>
    <m:brkBin m:val="before"/>
    <m:brkBinSub m:val="--"/>
    <m:smallFrac/>
    <m:dispDef/>
    <m:lMargin m:val="0"/>
    <m:rMargin m:val="0"/>
    <m:defJc m:val="centerGroup"/>
    <m:wrapIndent m:val="1440"/>
    <m:intLim m:val="subSup"/>
    <m:naryLim m:val="undOvr"/>
  </m:mathPr>
  <w:themeFontLang w:val="tr-TR"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B95891"/>
  <w15:docId w15:val="{F524ED4B-6D94-47AA-A744-E51E759825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04FC"/>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D631A"/>
    <w:rPr>
      <w:rFonts w:ascii="Tahoma" w:hAnsi="Tahoma" w:cs="Tahoma"/>
      <w:sz w:val="16"/>
      <w:szCs w:val="16"/>
    </w:rPr>
  </w:style>
  <w:style w:type="character" w:customStyle="1" w:styleId="BalloonTextChar">
    <w:name w:val="Balloon Text Char"/>
    <w:basedOn w:val="DefaultParagraphFont"/>
    <w:link w:val="BalloonText"/>
    <w:uiPriority w:val="99"/>
    <w:semiHidden/>
    <w:rsid w:val="009D631A"/>
    <w:rPr>
      <w:rFonts w:ascii="Tahoma" w:hAnsi="Tahoma" w:cs="Tahoma"/>
      <w:sz w:val="16"/>
      <w:szCs w:val="16"/>
    </w:rPr>
  </w:style>
  <w:style w:type="paragraph" w:styleId="Header">
    <w:name w:val="header"/>
    <w:basedOn w:val="Normal"/>
    <w:link w:val="HeaderChar"/>
    <w:uiPriority w:val="99"/>
    <w:unhideWhenUsed/>
    <w:rsid w:val="009D631A"/>
    <w:pPr>
      <w:tabs>
        <w:tab w:val="center" w:pos="4536"/>
        <w:tab w:val="right" w:pos="9072"/>
      </w:tabs>
    </w:pPr>
  </w:style>
  <w:style w:type="character" w:customStyle="1" w:styleId="HeaderChar">
    <w:name w:val="Header Char"/>
    <w:basedOn w:val="DefaultParagraphFont"/>
    <w:link w:val="Header"/>
    <w:uiPriority w:val="99"/>
    <w:rsid w:val="009D631A"/>
  </w:style>
  <w:style w:type="paragraph" w:styleId="Footer">
    <w:name w:val="footer"/>
    <w:basedOn w:val="Normal"/>
    <w:link w:val="FooterChar"/>
    <w:uiPriority w:val="99"/>
    <w:unhideWhenUsed/>
    <w:rsid w:val="009D631A"/>
    <w:pPr>
      <w:tabs>
        <w:tab w:val="center" w:pos="4536"/>
        <w:tab w:val="right" w:pos="9072"/>
      </w:tabs>
    </w:pPr>
  </w:style>
  <w:style w:type="character" w:customStyle="1" w:styleId="FooterChar">
    <w:name w:val="Footer Char"/>
    <w:basedOn w:val="DefaultParagraphFont"/>
    <w:link w:val="Footer"/>
    <w:uiPriority w:val="99"/>
    <w:rsid w:val="009D631A"/>
  </w:style>
  <w:style w:type="table" w:styleId="TableGrid">
    <w:name w:val="Table Grid"/>
    <w:basedOn w:val="TableNormal"/>
    <w:uiPriority w:val="59"/>
    <w:rsid w:val="009D63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400DA"/>
    <w:pPr>
      <w:ind w:left="720"/>
      <w:contextualSpacing/>
    </w:pPr>
  </w:style>
  <w:style w:type="paragraph" w:styleId="BodyText">
    <w:name w:val="Body Text"/>
    <w:basedOn w:val="Normal"/>
    <w:link w:val="BodyTextChar"/>
    <w:rsid w:val="004400DA"/>
    <w:pPr>
      <w:tabs>
        <w:tab w:val="left" w:pos="-1440"/>
      </w:tabs>
    </w:pPr>
    <w:rPr>
      <w:rFonts w:ascii="Arial" w:hAnsi="Arial"/>
      <w:sz w:val="20"/>
    </w:rPr>
  </w:style>
  <w:style w:type="character" w:customStyle="1" w:styleId="BodyTextChar">
    <w:name w:val="Body Text Char"/>
    <w:basedOn w:val="DefaultParagraphFont"/>
    <w:link w:val="BodyText"/>
    <w:rsid w:val="004400DA"/>
    <w:rPr>
      <w:rFonts w:ascii="Arial" w:eastAsia="Times New Roman" w:hAnsi="Arial" w:cs="Times New Roman"/>
      <w:snapToGrid w:val="0"/>
      <w:sz w:val="20"/>
      <w:szCs w:val="20"/>
      <w:lang w:val="en-US"/>
    </w:rPr>
  </w:style>
  <w:style w:type="paragraph" w:styleId="FootnoteText">
    <w:name w:val="footnote text"/>
    <w:basedOn w:val="Normal"/>
    <w:link w:val="FootnoteTextChar"/>
    <w:uiPriority w:val="99"/>
    <w:semiHidden/>
    <w:unhideWhenUsed/>
    <w:rsid w:val="005B0932"/>
    <w:rPr>
      <w:sz w:val="20"/>
    </w:rPr>
  </w:style>
  <w:style w:type="character" w:customStyle="1" w:styleId="FootnoteTextChar">
    <w:name w:val="Footnote Text Char"/>
    <w:basedOn w:val="DefaultParagraphFont"/>
    <w:link w:val="FootnoteText"/>
    <w:uiPriority w:val="99"/>
    <w:semiHidden/>
    <w:rsid w:val="005B0932"/>
    <w:rPr>
      <w:rFonts w:ascii="Times New Roman" w:eastAsia="Times New Roman" w:hAnsi="Times New Roman" w:cs="Times New Roman"/>
      <w:snapToGrid w:val="0"/>
      <w:sz w:val="20"/>
      <w:szCs w:val="20"/>
      <w:lang w:val="en-US"/>
    </w:rPr>
  </w:style>
  <w:style w:type="character" w:styleId="FootnoteReference">
    <w:name w:val="footnote reference"/>
    <w:basedOn w:val="DefaultParagraphFont"/>
    <w:uiPriority w:val="99"/>
    <w:semiHidden/>
    <w:unhideWhenUsed/>
    <w:rsid w:val="005B0932"/>
    <w:rPr>
      <w:vertAlign w:val="superscript"/>
    </w:rPr>
  </w:style>
  <w:style w:type="paragraph" w:styleId="EndnoteText">
    <w:name w:val="endnote text"/>
    <w:basedOn w:val="Normal"/>
    <w:link w:val="EndnoteTextChar"/>
    <w:uiPriority w:val="99"/>
    <w:semiHidden/>
    <w:unhideWhenUsed/>
    <w:rsid w:val="005B0932"/>
    <w:rPr>
      <w:sz w:val="20"/>
    </w:rPr>
  </w:style>
  <w:style w:type="character" w:customStyle="1" w:styleId="EndnoteTextChar">
    <w:name w:val="Endnote Text Char"/>
    <w:basedOn w:val="DefaultParagraphFont"/>
    <w:link w:val="EndnoteText"/>
    <w:uiPriority w:val="99"/>
    <w:semiHidden/>
    <w:rsid w:val="005B0932"/>
    <w:rPr>
      <w:rFonts w:ascii="Times New Roman" w:eastAsia="Times New Roman" w:hAnsi="Times New Roman" w:cs="Times New Roman"/>
      <w:snapToGrid w:val="0"/>
      <w:sz w:val="20"/>
      <w:szCs w:val="20"/>
      <w:lang w:val="en-US"/>
    </w:rPr>
  </w:style>
  <w:style w:type="character" w:styleId="EndnoteReference">
    <w:name w:val="endnote reference"/>
    <w:basedOn w:val="DefaultParagraphFont"/>
    <w:uiPriority w:val="99"/>
    <w:semiHidden/>
    <w:unhideWhenUsed/>
    <w:rsid w:val="005B0932"/>
    <w:rPr>
      <w:vertAlign w:val="superscript"/>
    </w:rPr>
  </w:style>
  <w:style w:type="paragraph" w:styleId="Revision">
    <w:name w:val="Revision"/>
    <w:hidden/>
    <w:uiPriority w:val="99"/>
    <w:semiHidden/>
    <w:rsid w:val="00EE445D"/>
    <w:pPr>
      <w:spacing w:after="0" w:line="240" w:lineRule="auto"/>
    </w:pPr>
    <w:rPr>
      <w:rFonts w:ascii="Times New Roman" w:eastAsia="Times New Roman" w:hAnsi="Times New Roman" w:cs="Times New Roman"/>
      <w:snapToGrid w:val="0"/>
      <w:sz w:val="24"/>
      <w:szCs w:val="20"/>
      <w:lang w:val="en-US"/>
    </w:rPr>
  </w:style>
  <w:style w:type="paragraph" w:styleId="NormalWeb">
    <w:name w:val="Normal (Web)"/>
    <w:basedOn w:val="Normal"/>
    <w:uiPriority w:val="99"/>
    <w:unhideWhenUsed/>
    <w:rsid w:val="004D0EF9"/>
    <w:pPr>
      <w:widowControl/>
      <w:spacing w:before="100" w:beforeAutospacing="1" w:after="100" w:afterAutospacing="1"/>
    </w:pPr>
    <w:rPr>
      <w:snapToGrid/>
      <w:szCs w:val="24"/>
    </w:rPr>
  </w:style>
  <w:style w:type="table" w:customStyle="1" w:styleId="TableGrid1">
    <w:name w:val="Table Grid1"/>
    <w:basedOn w:val="TableNormal"/>
    <w:next w:val="TableGrid"/>
    <w:uiPriority w:val="59"/>
    <w:rsid w:val="000F7E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A071E"/>
    <w:rPr>
      <w:color w:val="0000FF" w:themeColor="hyperlink"/>
      <w:u w:val="single"/>
    </w:rPr>
  </w:style>
  <w:style w:type="character" w:styleId="CommentReference">
    <w:name w:val="annotation reference"/>
    <w:basedOn w:val="DefaultParagraphFont"/>
    <w:uiPriority w:val="99"/>
    <w:semiHidden/>
    <w:unhideWhenUsed/>
    <w:rsid w:val="00531352"/>
    <w:rPr>
      <w:sz w:val="16"/>
      <w:szCs w:val="16"/>
    </w:rPr>
  </w:style>
  <w:style w:type="paragraph" w:styleId="CommentText">
    <w:name w:val="annotation text"/>
    <w:basedOn w:val="Normal"/>
    <w:link w:val="CommentTextChar"/>
    <w:uiPriority w:val="99"/>
    <w:semiHidden/>
    <w:unhideWhenUsed/>
    <w:rsid w:val="00531352"/>
    <w:rPr>
      <w:sz w:val="20"/>
    </w:rPr>
  </w:style>
  <w:style w:type="character" w:customStyle="1" w:styleId="CommentTextChar">
    <w:name w:val="Comment Text Char"/>
    <w:basedOn w:val="DefaultParagraphFont"/>
    <w:link w:val="CommentText"/>
    <w:uiPriority w:val="99"/>
    <w:semiHidden/>
    <w:rsid w:val="00531352"/>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31352"/>
    <w:rPr>
      <w:b/>
      <w:bCs/>
    </w:rPr>
  </w:style>
  <w:style w:type="character" w:customStyle="1" w:styleId="CommentSubjectChar">
    <w:name w:val="Comment Subject Char"/>
    <w:basedOn w:val="CommentTextChar"/>
    <w:link w:val="CommentSubject"/>
    <w:uiPriority w:val="99"/>
    <w:semiHidden/>
    <w:rsid w:val="00531352"/>
    <w:rPr>
      <w:rFonts w:ascii="Times New Roman" w:eastAsia="Times New Roman" w:hAnsi="Times New Roman" w:cs="Times New Roman"/>
      <w:b/>
      <w:bCs/>
      <w:snapToGrid w:val="0"/>
      <w:sz w:val="20"/>
      <w:szCs w:val="20"/>
    </w:rPr>
  </w:style>
  <w:style w:type="character" w:styleId="FollowedHyperlink">
    <w:name w:val="FollowedHyperlink"/>
    <w:basedOn w:val="DefaultParagraphFont"/>
    <w:uiPriority w:val="99"/>
    <w:semiHidden/>
    <w:unhideWhenUsed/>
    <w:rsid w:val="0020479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73561">
      <w:bodyDiv w:val="1"/>
      <w:marLeft w:val="0"/>
      <w:marRight w:val="0"/>
      <w:marTop w:val="0"/>
      <w:marBottom w:val="0"/>
      <w:divBdr>
        <w:top w:val="none" w:sz="0" w:space="0" w:color="auto"/>
        <w:left w:val="none" w:sz="0" w:space="0" w:color="auto"/>
        <w:bottom w:val="none" w:sz="0" w:space="0" w:color="auto"/>
        <w:right w:val="none" w:sz="0" w:space="0" w:color="auto"/>
      </w:divBdr>
      <w:divsChild>
        <w:div w:id="1794472338">
          <w:marLeft w:val="547"/>
          <w:marRight w:val="0"/>
          <w:marTop w:val="0"/>
          <w:marBottom w:val="0"/>
          <w:divBdr>
            <w:top w:val="none" w:sz="0" w:space="0" w:color="auto"/>
            <w:left w:val="none" w:sz="0" w:space="0" w:color="auto"/>
            <w:bottom w:val="none" w:sz="0" w:space="0" w:color="auto"/>
            <w:right w:val="none" w:sz="0" w:space="0" w:color="auto"/>
          </w:divBdr>
        </w:div>
      </w:divsChild>
    </w:div>
    <w:div w:id="256602223">
      <w:bodyDiv w:val="1"/>
      <w:marLeft w:val="0"/>
      <w:marRight w:val="0"/>
      <w:marTop w:val="0"/>
      <w:marBottom w:val="0"/>
      <w:divBdr>
        <w:top w:val="none" w:sz="0" w:space="0" w:color="auto"/>
        <w:left w:val="none" w:sz="0" w:space="0" w:color="auto"/>
        <w:bottom w:val="none" w:sz="0" w:space="0" w:color="auto"/>
        <w:right w:val="none" w:sz="0" w:space="0" w:color="auto"/>
      </w:divBdr>
      <w:divsChild>
        <w:div w:id="627200400">
          <w:marLeft w:val="0"/>
          <w:marRight w:val="0"/>
          <w:marTop w:val="0"/>
          <w:marBottom w:val="0"/>
          <w:divBdr>
            <w:top w:val="none" w:sz="0" w:space="0" w:color="auto"/>
            <w:left w:val="none" w:sz="0" w:space="0" w:color="auto"/>
            <w:bottom w:val="none" w:sz="0" w:space="0" w:color="auto"/>
            <w:right w:val="none" w:sz="0" w:space="0" w:color="auto"/>
          </w:divBdr>
          <w:divsChild>
            <w:div w:id="2012558297">
              <w:marLeft w:val="0"/>
              <w:marRight w:val="0"/>
              <w:marTop w:val="0"/>
              <w:marBottom w:val="0"/>
              <w:divBdr>
                <w:top w:val="none" w:sz="0" w:space="0" w:color="auto"/>
                <w:left w:val="none" w:sz="0" w:space="0" w:color="auto"/>
                <w:bottom w:val="none" w:sz="0" w:space="0" w:color="auto"/>
                <w:right w:val="none" w:sz="0" w:space="0" w:color="auto"/>
              </w:divBdr>
              <w:divsChild>
                <w:div w:id="494762996">
                  <w:marLeft w:val="0"/>
                  <w:marRight w:val="0"/>
                  <w:marTop w:val="0"/>
                  <w:marBottom w:val="0"/>
                  <w:divBdr>
                    <w:top w:val="none" w:sz="0" w:space="0" w:color="auto"/>
                    <w:left w:val="none" w:sz="0" w:space="0" w:color="auto"/>
                    <w:bottom w:val="none" w:sz="0" w:space="0" w:color="auto"/>
                    <w:right w:val="none" w:sz="0" w:space="0" w:color="auto"/>
                  </w:divBdr>
                  <w:divsChild>
                    <w:div w:id="832183309">
                      <w:marLeft w:val="0"/>
                      <w:marRight w:val="0"/>
                      <w:marTop w:val="0"/>
                      <w:marBottom w:val="0"/>
                      <w:divBdr>
                        <w:top w:val="none" w:sz="0" w:space="0" w:color="auto"/>
                        <w:left w:val="none" w:sz="0" w:space="0" w:color="auto"/>
                        <w:bottom w:val="none" w:sz="0" w:space="0" w:color="auto"/>
                        <w:right w:val="none" w:sz="0" w:space="0" w:color="auto"/>
                      </w:divBdr>
                      <w:divsChild>
                        <w:div w:id="1010258831">
                          <w:marLeft w:val="0"/>
                          <w:marRight w:val="0"/>
                          <w:marTop w:val="0"/>
                          <w:marBottom w:val="0"/>
                          <w:divBdr>
                            <w:top w:val="none" w:sz="0" w:space="0" w:color="auto"/>
                            <w:left w:val="none" w:sz="0" w:space="0" w:color="auto"/>
                            <w:bottom w:val="none" w:sz="0" w:space="0" w:color="auto"/>
                            <w:right w:val="none" w:sz="0" w:space="0" w:color="auto"/>
                          </w:divBdr>
                          <w:divsChild>
                            <w:div w:id="419567259">
                              <w:marLeft w:val="0"/>
                              <w:marRight w:val="0"/>
                              <w:marTop w:val="0"/>
                              <w:marBottom w:val="0"/>
                              <w:divBdr>
                                <w:top w:val="none" w:sz="0" w:space="0" w:color="auto"/>
                                <w:left w:val="none" w:sz="0" w:space="0" w:color="auto"/>
                                <w:bottom w:val="none" w:sz="0" w:space="0" w:color="auto"/>
                                <w:right w:val="none" w:sz="0" w:space="0" w:color="auto"/>
                              </w:divBdr>
                              <w:divsChild>
                                <w:div w:id="219021766">
                                  <w:marLeft w:val="0"/>
                                  <w:marRight w:val="0"/>
                                  <w:marTop w:val="0"/>
                                  <w:marBottom w:val="0"/>
                                  <w:divBdr>
                                    <w:top w:val="none" w:sz="0" w:space="0" w:color="auto"/>
                                    <w:left w:val="none" w:sz="0" w:space="0" w:color="auto"/>
                                    <w:bottom w:val="none" w:sz="0" w:space="0" w:color="auto"/>
                                    <w:right w:val="none" w:sz="0" w:space="0" w:color="auto"/>
                                  </w:divBdr>
                                  <w:divsChild>
                                    <w:div w:id="737365088">
                                      <w:marLeft w:val="0"/>
                                      <w:marRight w:val="0"/>
                                      <w:marTop w:val="0"/>
                                      <w:marBottom w:val="0"/>
                                      <w:divBdr>
                                        <w:top w:val="single" w:sz="6" w:space="0" w:color="F5F5F5"/>
                                        <w:left w:val="single" w:sz="6" w:space="0" w:color="F5F5F5"/>
                                        <w:bottom w:val="single" w:sz="6" w:space="0" w:color="F5F5F5"/>
                                        <w:right w:val="single" w:sz="6" w:space="0" w:color="F5F5F5"/>
                                      </w:divBdr>
                                      <w:divsChild>
                                        <w:div w:id="1140804918">
                                          <w:marLeft w:val="0"/>
                                          <w:marRight w:val="0"/>
                                          <w:marTop w:val="0"/>
                                          <w:marBottom w:val="0"/>
                                          <w:divBdr>
                                            <w:top w:val="none" w:sz="0" w:space="0" w:color="auto"/>
                                            <w:left w:val="none" w:sz="0" w:space="0" w:color="auto"/>
                                            <w:bottom w:val="none" w:sz="0" w:space="0" w:color="auto"/>
                                            <w:right w:val="none" w:sz="0" w:space="0" w:color="auto"/>
                                          </w:divBdr>
                                          <w:divsChild>
                                            <w:div w:id="184493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43287060">
      <w:bodyDiv w:val="1"/>
      <w:marLeft w:val="0"/>
      <w:marRight w:val="0"/>
      <w:marTop w:val="0"/>
      <w:marBottom w:val="0"/>
      <w:divBdr>
        <w:top w:val="none" w:sz="0" w:space="0" w:color="auto"/>
        <w:left w:val="none" w:sz="0" w:space="0" w:color="auto"/>
        <w:bottom w:val="none" w:sz="0" w:space="0" w:color="auto"/>
        <w:right w:val="none" w:sz="0" w:space="0" w:color="auto"/>
      </w:divBdr>
    </w:div>
    <w:div w:id="432865311">
      <w:bodyDiv w:val="1"/>
      <w:marLeft w:val="0"/>
      <w:marRight w:val="0"/>
      <w:marTop w:val="0"/>
      <w:marBottom w:val="0"/>
      <w:divBdr>
        <w:top w:val="none" w:sz="0" w:space="0" w:color="auto"/>
        <w:left w:val="none" w:sz="0" w:space="0" w:color="auto"/>
        <w:bottom w:val="none" w:sz="0" w:space="0" w:color="auto"/>
        <w:right w:val="none" w:sz="0" w:space="0" w:color="auto"/>
      </w:divBdr>
      <w:divsChild>
        <w:div w:id="1063790819">
          <w:marLeft w:val="0"/>
          <w:marRight w:val="0"/>
          <w:marTop w:val="0"/>
          <w:marBottom w:val="0"/>
          <w:divBdr>
            <w:top w:val="none" w:sz="0" w:space="0" w:color="auto"/>
            <w:left w:val="none" w:sz="0" w:space="0" w:color="auto"/>
            <w:bottom w:val="none" w:sz="0" w:space="0" w:color="auto"/>
            <w:right w:val="none" w:sz="0" w:space="0" w:color="auto"/>
          </w:divBdr>
          <w:divsChild>
            <w:div w:id="352809336">
              <w:marLeft w:val="0"/>
              <w:marRight w:val="0"/>
              <w:marTop w:val="0"/>
              <w:marBottom w:val="0"/>
              <w:divBdr>
                <w:top w:val="none" w:sz="0" w:space="0" w:color="auto"/>
                <w:left w:val="none" w:sz="0" w:space="0" w:color="auto"/>
                <w:bottom w:val="none" w:sz="0" w:space="0" w:color="auto"/>
                <w:right w:val="none" w:sz="0" w:space="0" w:color="auto"/>
              </w:divBdr>
              <w:divsChild>
                <w:div w:id="1426146132">
                  <w:marLeft w:val="0"/>
                  <w:marRight w:val="0"/>
                  <w:marTop w:val="0"/>
                  <w:marBottom w:val="0"/>
                  <w:divBdr>
                    <w:top w:val="none" w:sz="0" w:space="0" w:color="auto"/>
                    <w:left w:val="none" w:sz="0" w:space="0" w:color="auto"/>
                    <w:bottom w:val="none" w:sz="0" w:space="0" w:color="auto"/>
                    <w:right w:val="none" w:sz="0" w:space="0" w:color="auto"/>
                  </w:divBdr>
                  <w:divsChild>
                    <w:div w:id="1401294538">
                      <w:marLeft w:val="0"/>
                      <w:marRight w:val="0"/>
                      <w:marTop w:val="0"/>
                      <w:marBottom w:val="0"/>
                      <w:divBdr>
                        <w:top w:val="none" w:sz="0" w:space="0" w:color="auto"/>
                        <w:left w:val="none" w:sz="0" w:space="0" w:color="auto"/>
                        <w:bottom w:val="none" w:sz="0" w:space="0" w:color="auto"/>
                        <w:right w:val="none" w:sz="0" w:space="0" w:color="auto"/>
                      </w:divBdr>
                      <w:divsChild>
                        <w:div w:id="470052106">
                          <w:marLeft w:val="0"/>
                          <w:marRight w:val="0"/>
                          <w:marTop w:val="0"/>
                          <w:marBottom w:val="0"/>
                          <w:divBdr>
                            <w:top w:val="none" w:sz="0" w:space="0" w:color="auto"/>
                            <w:left w:val="none" w:sz="0" w:space="0" w:color="auto"/>
                            <w:bottom w:val="none" w:sz="0" w:space="0" w:color="auto"/>
                            <w:right w:val="none" w:sz="0" w:space="0" w:color="auto"/>
                          </w:divBdr>
                          <w:divsChild>
                            <w:div w:id="88627691">
                              <w:marLeft w:val="0"/>
                              <w:marRight w:val="0"/>
                              <w:marTop w:val="0"/>
                              <w:marBottom w:val="0"/>
                              <w:divBdr>
                                <w:top w:val="none" w:sz="0" w:space="0" w:color="auto"/>
                                <w:left w:val="none" w:sz="0" w:space="0" w:color="auto"/>
                                <w:bottom w:val="none" w:sz="0" w:space="0" w:color="auto"/>
                                <w:right w:val="none" w:sz="0" w:space="0" w:color="auto"/>
                              </w:divBdr>
                              <w:divsChild>
                                <w:div w:id="1734622933">
                                  <w:marLeft w:val="0"/>
                                  <w:marRight w:val="0"/>
                                  <w:marTop w:val="0"/>
                                  <w:marBottom w:val="0"/>
                                  <w:divBdr>
                                    <w:top w:val="none" w:sz="0" w:space="0" w:color="auto"/>
                                    <w:left w:val="none" w:sz="0" w:space="0" w:color="auto"/>
                                    <w:bottom w:val="none" w:sz="0" w:space="0" w:color="auto"/>
                                    <w:right w:val="none" w:sz="0" w:space="0" w:color="auto"/>
                                  </w:divBdr>
                                  <w:divsChild>
                                    <w:div w:id="620573605">
                                      <w:marLeft w:val="0"/>
                                      <w:marRight w:val="0"/>
                                      <w:marTop w:val="0"/>
                                      <w:marBottom w:val="0"/>
                                      <w:divBdr>
                                        <w:top w:val="single" w:sz="6" w:space="0" w:color="F5F5F5"/>
                                        <w:left w:val="single" w:sz="6" w:space="0" w:color="F5F5F5"/>
                                        <w:bottom w:val="single" w:sz="6" w:space="0" w:color="F5F5F5"/>
                                        <w:right w:val="single" w:sz="6" w:space="0" w:color="F5F5F5"/>
                                      </w:divBdr>
                                      <w:divsChild>
                                        <w:div w:id="1658612067">
                                          <w:marLeft w:val="0"/>
                                          <w:marRight w:val="0"/>
                                          <w:marTop w:val="0"/>
                                          <w:marBottom w:val="0"/>
                                          <w:divBdr>
                                            <w:top w:val="none" w:sz="0" w:space="0" w:color="auto"/>
                                            <w:left w:val="none" w:sz="0" w:space="0" w:color="auto"/>
                                            <w:bottom w:val="none" w:sz="0" w:space="0" w:color="auto"/>
                                            <w:right w:val="none" w:sz="0" w:space="0" w:color="auto"/>
                                          </w:divBdr>
                                          <w:divsChild>
                                            <w:div w:id="204173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23445135">
      <w:bodyDiv w:val="1"/>
      <w:marLeft w:val="0"/>
      <w:marRight w:val="0"/>
      <w:marTop w:val="0"/>
      <w:marBottom w:val="0"/>
      <w:divBdr>
        <w:top w:val="none" w:sz="0" w:space="0" w:color="auto"/>
        <w:left w:val="none" w:sz="0" w:space="0" w:color="auto"/>
        <w:bottom w:val="none" w:sz="0" w:space="0" w:color="auto"/>
        <w:right w:val="none" w:sz="0" w:space="0" w:color="auto"/>
      </w:divBdr>
      <w:divsChild>
        <w:div w:id="30308922">
          <w:marLeft w:val="0"/>
          <w:marRight w:val="0"/>
          <w:marTop w:val="0"/>
          <w:marBottom w:val="0"/>
          <w:divBdr>
            <w:top w:val="none" w:sz="0" w:space="0" w:color="auto"/>
            <w:left w:val="none" w:sz="0" w:space="0" w:color="auto"/>
            <w:bottom w:val="none" w:sz="0" w:space="0" w:color="auto"/>
            <w:right w:val="none" w:sz="0" w:space="0" w:color="auto"/>
          </w:divBdr>
          <w:divsChild>
            <w:div w:id="1935629302">
              <w:marLeft w:val="0"/>
              <w:marRight w:val="0"/>
              <w:marTop w:val="0"/>
              <w:marBottom w:val="0"/>
              <w:divBdr>
                <w:top w:val="none" w:sz="0" w:space="0" w:color="auto"/>
                <w:left w:val="none" w:sz="0" w:space="0" w:color="auto"/>
                <w:bottom w:val="none" w:sz="0" w:space="0" w:color="auto"/>
                <w:right w:val="none" w:sz="0" w:space="0" w:color="auto"/>
              </w:divBdr>
              <w:divsChild>
                <w:div w:id="1379938787">
                  <w:marLeft w:val="0"/>
                  <w:marRight w:val="0"/>
                  <w:marTop w:val="0"/>
                  <w:marBottom w:val="0"/>
                  <w:divBdr>
                    <w:top w:val="none" w:sz="0" w:space="0" w:color="auto"/>
                    <w:left w:val="none" w:sz="0" w:space="0" w:color="auto"/>
                    <w:bottom w:val="none" w:sz="0" w:space="0" w:color="auto"/>
                    <w:right w:val="none" w:sz="0" w:space="0" w:color="auto"/>
                  </w:divBdr>
                  <w:divsChild>
                    <w:div w:id="1509562145">
                      <w:marLeft w:val="0"/>
                      <w:marRight w:val="0"/>
                      <w:marTop w:val="0"/>
                      <w:marBottom w:val="0"/>
                      <w:divBdr>
                        <w:top w:val="none" w:sz="0" w:space="0" w:color="auto"/>
                        <w:left w:val="none" w:sz="0" w:space="0" w:color="auto"/>
                        <w:bottom w:val="none" w:sz="0" w:space="0" w:color="auto"/>
                        <w:right w:val="none" w:sz="0" w:space="0" w:color="auto"/>
                      </w:divBdr>
                      <w:divsChild>
                        <w:div w:id="1775468362">
                          <w:marLeft w:val="0"/>
                          <w:marRight w:val="0"/>
                          <w:marTop w:val="0"/>
                          <w:marBottom w:val="0"/>
                          <w:divBdr>
                            <w:top w:val="none" w:sz="0" w:space="0" w:color="auto"/>
                            <w:left w:val="none" w:sz="0" w:space="0" w:color="auto"/>
                            <w:bottom w:val="none" w:sz="0" w:space="0" w:color="auto"/>
                            <w:right w:val="none" w:sz="0" w:space="0" w:color="auto"/>
                          </w:divBdr>
                          <w:divsChild>
                            <w:div w:id="608852350">
                              <w:marLeft w:val="0"/>
                              <w:marRight w:val="0"/>
                              <w:marTop w:val="0"/>
                              <w:marBottom w:val="0"/>
                              <w:divBdr>
                                <w:top w:val="none" w:sz="0" w:space="0" w:color="auto"/>
                                <w:left w:val="none" w:sz="0" w:space="0" w:color="auto"/>
                                <w:bottom w:val="none" w:sz="0" w:space="0" w:color="auto"/>
                                <w:right w:val="none" w:sz="0" w:space="0" w:color="auto"/>
                              </w:divBdr>
                              <w:divsChild>
                                <w:div w:id="979461872">
                                  <w:marLeft w:val="0"/>
                                  <w:marRight w:val="0"/>
                                  <w:marTop w:val="0"/>
                                  <w:marBottom w:val="0"/>
                                  <w:divBdr>
                                    <w:top w:val="none" w:sz="0" w:space="0" w:color="auto"/>
                                    <w:left w:val="none" w:sz="0" w:space="0" w:color="auto"/>
                                    <w:bottom w:val="none" w:sz="0" w:space="0" w:color="auto"/>
                                    <w:right w:val="none" w:sz="0" w:space="0" w:color="auto"/>
                                  </w:divBdr>
                                  <w:divsChild>
                                    <w:div w:id="1568955150">
                                      <w:marLeft w:val="0"/>
                                      <w:marRight w:val="0"/>
                                      <w:marTop w:val="0"/>
                                      <w:marBottom w:val="0"/>
                                      <w:divBdr>
                                        <w:top w:val="single" w:sz="6" w:space="0" w:color="F5F5F5"/>
                                        <w:left w:val="single" w:sz="6" w:space="0" w:color="F5F5F5"/>
                                        <w:bottom w:val="single" w:sz="6" w:space="0" w:color="F5F5F5"/>
                                        <w:right w:val="single" w:sz="6" w:space="0" w:color="F5F5F5"/>
                                      </w:divBdr>
                                      <w:divsChild>
                                        <w:div w:id="2035836861">
                                          <w:marLeft w:val="0"/>
                                          <w:marRight w:val="0"/>
                                          <w:marTop w:val="0"/>
                                          <w:marBottom w:val="0"/>
                                          <w:divBdr>
                                            <w:top w:val="none" w:sz="0" w:space="0" w:color="auto"/>
                                            <w:left w:val="none" w:sz="0" w:space="0" w:color="auto"/>
                                            <w:bottom w:val="none" w:sz="0" w:space="0" w:color="auto"/>
                                            <w:right w:val="none" w:sz="0" w:space="0" w:color="auto"/>
                                          </w:divBdr>
                                          <w:divsChild>
                                            <w:div w:id="113043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5118138">
      <w:bodyDiv w:val="1"/>
      <w:marLeft w:val="0"/>
      <w:marRight w:val="0"/>
      <w:marTop w:val="0"/>
      <w:marBottom w:val="0"/>
      <w:divBdr>
        <w:top w:val="none" w:sz="0" w:space="0" w:color="auto"/>
        <w:left w:val="none" w:sz="0" w:space="0" w:color="auto"/>
        <w:bottom w:val="none" w:sz="0" w:space="0" w:color="auto"/>
        <w:right w:val="none" w:sz="0" w:space="0" w:color="auto"/>
      </w:divBdr>
    </w:div>
    <w:div w:id="929773821">
      <w:bodyDiv w:val="1"/>
      <w:marLeft w:val="0"/>
      <w:marRight w:val="0"/>
      <w:marTop w:val="0"/>
      <w:marBottom w:val="0"/>
      <w:divBdr>
        <w:top w:val="none" w:sz="0" w:space="0" w:color="auto"/>
        <w:left w:val="none" w:sz="0" w:space="0" w:color="auto"/>
        <w:bottom w:val="none" w:sz="0" w:space="0" w:color="auto"/>
        <w:right w:val="none" w:sz="0" w:space="0" w:color="auto"/>
      </w:divBdr>
    </w:div>
    <w:div w:id="1007756004">
      <w:bodyDiv w:val="1"/>
      <w:marLeft w:val="0"/>
      <w:marRight w:val="0"/>
      <w:marTop w:val="0"/>
      <w:marBottom w:val="0"/>
      <w:divBdr>
        <w:top w:val="none" w:sz="0" w:space="0" w:color="auto"/>
        <w:left w:val="none" w:sz="0" w:space="0" w:color="auto"/>
        <w:bottom w:val="none" w:sz="0" w:space="0" w:color="auto"/>
        <w:right w:val="none" w:sz="0" w:space="0" w:color="auto"/>
      </w:divBdr>
      <w:divsChild>
        <w:div w:id="1373459997">
          <w:marLeft w:val="0"/>
          <w:marRight w:val="0"/>
          <w:marTop w:val="0"/>
          <w:marBottom w:val="0"/>
          <w:divBdr>
            <w:top w:val="none" w:sz="0" w:space="0" w:color="auto"/>
            <w:left w:val="none" w:sz="0" w:space="0" w:color="auto"/>
            <w:bottom w:val="none" w:sz="0" w:space="0" w:color="auto"/>
            <w:right w:val="none" w:sz="0" w:space="0" w:color="auto"/>
          </w:divBdr>
          <w:divsChild>
            <w:div w:id="798110519">
              <w:marLeft w:val="0"/>
              <w:marRight w:val="0"/>
              <w:marTop w:val="0"/>
              <w:marBottom w:val="0"/>
              <w:divBdr>
                <w:top w:val="none" w:sz="0" w:space="0" w:color="auto"/>
                <w:left w:val="none" w:sz="0" w:space="0" w:color="auto"/>
                <w:bottom w:val="none" w:sz="0" w:space="0" w:color="auto"/>
                <w:right w:val="none" w:sz="0" w:space="0" w:color="auto"/>
              </w:divBdr>
              <w:divsChild>
                <w:div w:id="1350640887">
                  <w:marLeft w:val="0"/>
                  <w:marRight w:val="0"/>
                  <w:marTop w:val="0"/>
                  <w:marBottom w:val="0"/>
                  <w:divBdr>
                    <w:top w:val="none" w:sz="0" w:space="0" w:color="auto"/>
                    <w:left w:val="none" w:sz="0" w:space="0" w:color="auto"/>
                    <w:bottom w:val="none" w:sz="0" w:space="0" w:color="auto"/>
                    <w:right w:val="none" w:sz="0" w:space="0" w:color="auto"/>
                  </w:divBdr>
                  <w:divsChild>
                    <w:div w:id="801730626">
                      <w:marLeft w:val="0"/>
                      <w:marRight w:val="0"/>
                      <w:marTop w:val="0"/>
                      <w:marBottom w:val="0"/>
                      <w:divBdr>
                        <w:top w:val="none" w:sz="0" w:space="0" w:color="auto"/>
                        <w:left w:val="none" w:sz="0" w:space="0" w:color="auto"/>
                        <w:bottom w:val="none" w:sz="0" w:space="0" w:color="auto"/>
                        <w:right w:val="none" w:sz="0" w:space="0" w:color="auto"/>
                      </w:divBdr>
                      <w:divsChild>
                        <w:div w:id="1062875297">
                          <w:marLeft w:val="0"/>
                          <w:marRight w:val="0"/>
                          <w:marTop w:val="0"/>
                          <w:marBottom w:val="0"/>
                          <w:divBdr>
                            <w:top w:val="none" w:sz="0" w:space="0" w:color="auto"/>
                            <w:left w:val="none" w:sz="0" w:space="0" w:color="auto"/>
                            <w:bottom w:val="none" w:sz="0" w:space="0" w:color="auto"/>
                            <w:right w:val="none" w:sz="0" w:space="0" w:color="auto"/>
                          </w:divBdr>
                          <w:divsChild>
                            <w:div w:id="259602267">
                              <w:marLeft w:val="0"/>
                              <w:marRight w:val="0"/>
                              <w:marTop w:val="0"/>
                              <w:marBottom w:val="0"/>
                              <w:divBdr>
                                <w:top w:val="none" w:sz="0" w:space="0" w:color="auto"/>
                                <w:left w:val="none" w:sz="0" w:space="0" w:color="auto"/>
                                <w:bottom w:val="none" w:sz="0" w:space="0" w:color="auto"/>
                                <w:right w:val="none" w:sz="0" w:space="0" w:color="auto"/>
                              </w:divBdr>
                              <w:divsChild>
                                <w:div w:id="896204977">
                                  <w:marLeft w:val="0"/>
                                  <w:marRight w:val="0"/>
                                  <w:marTop w:val="0"/>
                                  <w:marBottom w:val="0"/>
                                  <w:divBdr>
                                    <w:top w:val="none" w:sz="0" w:space="0" w:color="auto"/>
                                    <w:left w:val="none" w:sz="0" w:space="0" w:color="auto"/>
                                    <w:bottom w:val="none" w:sz="0" w:space="0" w:color="auto"/>
                                    <w:right w:val="none" w:sz="0" w:space="0" w:color="auto"/>
                                  </w:divBdr>
                                  <w:divsChild>
                                    <w:div w:id="304430349">
                                      <w:marLeft w:val="0"/>
                                      <w:marRight w:val="0"/>
                                      <w:marTop w:val="0"/>
                                      <w:marBottom w:val="0"/>
                                      <w:divBdr>
                                        <w:top w:val="single" w:sz="6" w:space="0" w:color="F5F5F5"/>
                                        <w:left w:val="single" w:sz="6" w:space="0" w:color="F5F5F5"/>
                                        <w:bottom w:val="single" w:sz="6" w:space="0" w:color="F5F5F5"/>
                                        <w:right w:val="single" w:sz="6" w:space="0" w:color="F5F5F5"/>
                                      </w:divBdr>
                                      <w:divsChild>
                                        <w:div w:id="1909068702">
                                          <w:marLeft w:val="0"/>
                                          <w:marRight w:val="0"/>
                                          <w:marTop w:val="0"/>
                                          <w:marBottom w:val="0"/>
                                          <w:divBdr>
                                            <w:top w:val="none" w:sz="0" w:space="0" w:color="auto"/>
                                            <w:left w:val="none" w:sz="0" w:space="0" w:color="auto"/>
                                            <w:bottom w:val="none" w:sz="0" w:space="0" w:color="auto"/>
                                            <w:right w:val="none" w:sz="0" w:space="0" w:color="auto"/>
                                          </w:divBdr>
                                          <w:divsChild>
                                            <w:div w:id="135870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8554070">
      <w:bodyDiv w:val="1"/>
      <w:marLeft w:val="0"/>
      <w:marRight w:val="0"/>
      <w:marTop w:val="0"/>
      <w:marBottom w:val="0"/>
      <w:divBdr>
        <w:top w:val="none" w:sz="0" w:space="0" w:color="auto"/>
        <w:left w:val="none" w:sz="0" w:space="0" w:color="auto"/>
        <w:bottom w:val="none" w:sz="0" w:space="0" w:color="auto"/>
        <w:right w:val="none" w:sz="0" w:space="0" w:color="auto"/>
      </w:divBdr>
    </w:div>
    <w:div w:id="1078284252">
      <w:bodyDiv w:val="1"/>
      <w:marLeft w:val="0"/>
      <w:marRight w:val="0"/>
      <w:marTop w:val="0"/>
      <w:marBottom w:val="0"/>
      <w:divBdr>
        <w:top w:val="none" w:sz="0" w:space="0" w:color="auto"/>
        <w:left w:val="none" w:sz="0" w:space="0" w:color="auto"/>
        <w:bottom w:val="none" w:sz="0" w:space="0" w:color="auto"/>
        <w:right w:val="none" w:sz="0" w:space="0" w:color="auto"/>
      </w:divBdr>
    </w:div>
    <w:div w:id="1138033008">
      <w:bodyDiv w:val="1"/>
      <w:marLeft w:val="0"/>
      <w:marRight w:val="0"/>
      <w:marTop w:val="0"/>
      <w:marBottom w:val="0"/>
      <w:divBdr>
        <w:top w:val="none" w:sz="0" w:space="0" w:color="auto"/>
        <w:left w:val="none" w:sz="0" w:space="0" w:color="auto"/>
        <w:bottom w:val="none" w:sz="0" w:space="0" w:color="auto"/>
        <w:right w:val="none" w:sz="0" w:space="0" w:color="auto"/>
      </w:divBdr>
    </w:div>
    <w:div w:id="1309044634">
      <w:bodyDiv w:val="1"/>
      <w:marLeft w:val="0"/>
      <w:marRight w:val="0"/>
      <w:marTop w:val="0"/>
      <w:marBottom w:val="0"/>
      <w:divBdr>
        <w:top w:val="none" w:sz="0" w:space="0" w:color="auto"/>
        <w:left w:val="none" w:sz="0" w:space="0" w:color="auto"/>
        <w:bottom w:val="none" w:sz="0" w:space="0" w:color="auto"/>
        <w:right w:val="none" w:sz="0" w:space="0" w:color="auto"/>
      </w:divBdr>
      <w:divsChild>
        <w:div w:id="1833182396">
          <w:marLeft w:val="547"/>
          <w:marRight w:val="0"/>
          <w:marTop w:val="0"/>
          <w:marBottom w:val="0"/>
          <w:divBdr>
            <w:top w:val="none" w:sz="0" w:space="0" w:color="auto"/>
            <w:left w:val="none" w:sz="0" w:space="0" w:color="auto"/>
            <w:bottom w:val="none" w:sz="0" w:space="0" w:color="auto"/>
            <w:right w:val="none" w:sz="0" w:space="0" w:color="auto"/>
          </w:divBdr>
        </w:div>
      </w:divsChild>
    </w:div>
    <w:div w:id="1370640629">
      <w:bodyDiv w:val="1"/>
      <w:marLeft w:val="0"/>
      <w:marRight w:val="0"/>
      <w:marTop w:val="0"/>
      <w:marBottom w:val="0"/>
      <w:divBdr>
        <w:top w:val="none" w:sz="0" w:space="0" w:color="auto"/>
        <w:left w:val="none" w:sz="0" w:space="0" w:color="auto"/>
        <w:bottom w:val="none" w:sz="0" w:space="0" w:color="auto"/>
        <w:right w:val="none" w:sz="0" w:space="0" w:color="auto"/>
      </w:divBdr>
    </w:div>
    <w:div w:id="1437024876">
      <w:bodyDiv w:val="1"/>
      <w:marLeft w:val="0"/>
      <w:marRight w:val="0"/>
      <w:marTop w:val="0"/>
      <w:marBottom w:val="0"/>
      <w:divBdr>
        <w:top w:val="none" w:sz="0" w:space="0" w:color="auto"/>
        <w:left w:val="none" w:sz="0" w:space="0" w:color="auto"/>
        <w:bottom w:val="none" w:sz="0" w:space="0" w:color="auto"/>
        <w:right w:val="none" w:sz="0" w:space="0" w:color="auto"/>
      </w:divBdr>
      <w:divsChild>
        <w:div w:id="1536768893">
          <w:marLeft w:val="0"/>
          <w:marRight w:val="0"/>
          <w:marTop w:val="0"/>
          <w:marBottom w:val="0"/>
          <w:divBdr>
            <w:top w:val="none" w:sz="0" w:space="0" w:color="auto"/>
            <w:left w:val="none" w:sz="0" w:space="0" w:color="auto"/>
            <w:bottom w:val="none" w:sz="0" w:space="0" w:color="auto"/>
            <w:right w:val="none" w:sz="0" w:space="0" w:color="auto"/>
          </w:divBdr>
          <w:divsChild>
            <w:div w:id="429787743">
              <w:marLeft w:val="0"/>
              <w:marRight w:val="0"/>
              <w:marTop w:val="0"/>
              <w:marBottom w:val="0"/>
              <w:divBdr>
                <w:top w:val="none" w:sz="0" w:space="0" w:color="auto"/>
                <w:left w:val="none" w:sz="0" w:space="0" w:color="auto"/>
                <w:bottom w:val="none" w:sz="0" w:space="0" w:color="auto"/>
                <w:right w:val="none" w:sz="0" w:space="0" w:color="auto"/>
              </w:divBdr>
              <w:divsChild>
                <w:div w:id="309133603">
                  <w:marLeft w:val="0"/>
                  <w:marRight w:val="0"/>
                  <w:marTop w:val="0"/>
                  <w:marBottom w:val="0"/>
                  <w:divBdr>
                    <w:top w:val="none" w:sz="0" w:space="0" w:color="auto"/>
                    <w:left w:val="none" w:sz="0" w:space="0" w:color="auto"/>
                    <w:bottom w:val="none" w:sz="0" w:space="0" w:color="auto"/>
                    <w:right w:val="none" w:sz="0" w:space="0" w:color="auto"/>
                  </w:divBdr>
                  <w:divsChild>
                    <w:div w:id="345837236">
                      <w:marLeft w:val="0"/>
                      <w:marRight w:val="0"/>
                      <w:marTop w:val="0"/>
                      <w:marBottom w:val="0"/>
                      <w:divBdr>
                        <w:top w:val="none" w:sz="0" w:space="0" w:color="auto"/>
                        <w:left w:val="none" w:sz="0" w:space="0" w:color="auto"/>
                        <w:bottom w:val="none" w:sz="0" w:space="0" w:color="auto"/>
                        <w:right w:val="none" w:sz="0" w:space="0" w:color="auto"/>
                      </w:divBdr>
                      <w:divsChild>
                        <w:div w:id="1468278747">
                          <w:marLeft w:val="0"/>
                          <w:marRight w:val="0"/>
                          <w:marTop w:val="0"/>
                          <w:marBottom w:val="0"/>
                          <w:divBdr>
                            <w:top w:val="none" w:sz="0" w:space="0" w:color="auto"/>
                            <w:left w:val="none" w:sz="0" w:space="0" w:color="auto"/>
                            <w:bottom w:val="none" w:sz="0" w:space="0" w:color="auto"/>
                            <w:right w:val="none" w:sz="0" w:space="0" w:color="auto"/>
                          </w:divBdr>
                          <w:divsChild>
                            <w:div w:id="2035419095">
                              <w:marLeft w:val="0"/>
                              <w:marRight w:val="0"/>
                              <w:marTop w:val="0"/>
                              <w:marBottom w:val="0"/>
                              <w:divBdr>
                                <w:top w:val="none" w:sz="0" w:space="0" w:color="auto"/>
                                <w:left w:val="none" w:sz="0" w:space="0" w:color="auto"/>
                                <w:bottom w:val="none" w:sz="0" w:space="0" w:color="auto"/>
                                <w:right w:val="none" w:sz="0" w:space="0" w:color="auto"/>
                              </w:divBdr>
                              <w:divsChild>
                                <w:div w:id="102265270">
                                  <w:marLeft w:val="0"/>
                                  <w:marRight w:val="0"/>
                                  <w:marTop w:val="0"/>
                                  <w:marBottom w:val="0"/>
                                  <w:divBdr>
                                    <w:top w:val="none" w:sz="0" w:space="0" w:color="auto"/>
                                    <w:left w:val="none" w:sz="0" w:space="0" w:color="auto"/>
                                    <w:bottom w:val="none" w:sz="0" w:space="0" w:color="auto"/>
                                    <w:right w:val="none" w:sz="0" w:space="0" w:color="auto"/>
                                  </w:divBdr>
                                  <w:divsChild>
                                    <w:div w:id="1355613865">
                                      <w:marLeft w:val="0"/>
                                      <w:marRight w:val="0"/>
                                      <w:marTop w:val="0"/>
                                      <w:marBottom w:val="0"/>
                                      <w:divBdr>
                                        <w:top w:val="single" w:sz="6" w:space="0" w:color="F5F5F5"/>
                                        <w:left w:val="single" w:sz="6" w:space="0" w:color="F5F5F5"/>
                                        <w:bottom w:val="single" w:sz="6" w:space="0" w:color="F5F5F5"/>
                                        <w:right w:val="single" w:sz="6" w:space="0" w:color="F5F5F5"/>
                                      </w:divBdr>
                                      <w:divsChild>
                                        <w:div w:id="1683971608">
                                          <w:marLeft w:val="0"/>
                                          <w:marRight w:val="0"/>
                                          <w:marTop w:val="0"/>
                                          <w:marBottom w:val="0"/>
                                          <w:divBdr>
                                            <w:top w:val="none" w:sz="0" w:space="0" w:color="auto"/>
                                            <w:left w:val="none" w:sz="0" w:space="0" w:color="auto"/>
                                            <w:bottom w:val="none" w:sz="0" w:space="0" w:color="auto"/>
                                            <w:right w:val="none" w:sz="0" w:space="0" w:color="auto"/>
                                          </w:divBdr>
                                          <w:divsChild>
                                            <w:div w:id="52626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2126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cep.meb.gov.tr/about-us-detayi-144084599212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E5E321-8555-41FB-B0CB-3179266C5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91</TotalTime>
  <Pages>1</Pages>
  <Words>2158</Words>
  <Characters>12306</Characters>
  <Application>Microsoft Office Word</Application>
  <DocSecurity>0</DocSecurity>
  <Lines>102</Lines>
  <Paragraphs>28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UNICEF</Company>
  <LinksUpToDate>false</LinksUpToDate>
  <CharactersWithSpaces>14436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Kamil Kurtul</cp:lastModifiedBy>
  <cp:revision>14</cp:revision>
  <cp:lastPrinted>2017-05-29T09:33:00Z</cp:lastPrinted>
  <dcterms:created xsi:type="dcterms:W3CDTF">2017-05-18T13:11:00Z</dcterms:created>
  <dcterms:modified xsi:type="dcterms:W3CDTF">2017-05-29T09:39:00Z</dcterms:modified>
</cp:coreProperties>
</file>