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001FE357">
                <wp:simplePos x="0" y="0"/>
                <wp:positionH relativeFrom="column">
                  <wp:posOffset>1704258</wp:posOffset>
                </wp:positionH>
                <wp:positionV relativeFrom="paragraph">
                  <wp:posOffset>6658</wp:posOffset>
                </wp:positionV>
                <wp:extent cx="3718560" cy="701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601B6" w:rsidRDefault="005D5049" w:rsidP="00944013">
                            <w:pPr>
                              <w:jc w:val="center"/>
                              <w:rPr>
                                <w:rFonts w:ascii="Arial" w:hAnsi="Arial" w:cs="Arial"/>
                                <w:b/>
                                <w:bCs/>
                                <w:sz w:val="16"/>
                                <w:szCs w:val="16"/>
                              </w:rPr>
                            </w:pPr>
                          </w:p>
                          <w:p w14:paraId="54D60FE2" w14:textId="77777777" w:rsidR="005601B6" w:rsidRDefault="005D5049"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410DE944" w:rsidR="005D5049" w:rsidRPr="005F1412" w:rsidRDefault="005601B6" w:rsidP="00944013">
                            <w:pPr>
                              <w:jc w:val="center"/>
                              <w:rPr>
                                <w:rFonts w:ascii="Arial" w:hAnsi="Arial" w:cs="Arial"/>
                                <w:sz w:val="24"/>
                                <w:szCs w:val="24"/>
                              </w:rPr>
                            </w:pPr>
                            <w:bookmarkStart w:id="0" w:name="_GoBack"/>
                            <w:r>
                              <w:rPr>
                                <w:rFonts w:ascii="Arial" w:hAnsi="Arial" w:cs="Arial"/>
                                <w:b/>
                                <w:bCs/>
                                <w:sz w:val="24"/>
                                <w:szCs w:val="24"/>
                              </w:rPr>
                              <w:t xml:space="preserve">WASH in Schools Consultant – Vanuatu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4.2pt;margin-top:.5pt;width:292.8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Eg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601B6" w:rsidRDefault="005D5049" w:rsidP="00944013">
                      <w:pPr>
                        <w:jc w:val="center"/>
                        <w:rPr>
                          <w:rFonts w:ascii="Arial" w:hAnsi="Arial" w:cs="Arial"/>
                          <w:b/>
                          <w:bCs/>
                          <w:sz w:val="16"/>
                          <w:szCs w:val="16"/>
                        </w:rPr>
                      </w:pPr>
                    </w:p>
                    <w:p w14:paraId="54D60FE2" w14:textId="77777777" w:rsidR="005601B6" w:rsidRDefault="005D5049"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410DE944" w:rsidR="005D5049" w:rsidRPr="005F1412" w:rsidRDefault="005601B6" w:rsidP="00944013">
                      <w:pPr>
                        <w:jc w:val="center"/>
                        <w:rPr>
                          <w:rFonts w:ascii="Arial" w:hAnsi="Arial" w:cs="Arial"/>
                          <w:sz w:val="24"/>
                          <w:szCs w:val="24"/>
                        </w:rPr>
                      </w:pPr>
                      <w:bookmarkStart w:id="1" w:name="_GoBack"/>
                      <w:r>
                        <w:rPr>
                          <w:rFonts w:ascii="Arial" w:hAnsi="Arial" w:cs="Arial"/>
                          <w:b/>
                          <w:bCs/>
                          <w:sz w:val="24"/>
                          <w:szCs w:val="24"/>
                        </w:rPr>
                        <w:t xml:space="preserve">WASH in Schools Consultant – Vanuatu </w:t>
                      </w:r>
                      <w:bookmarkEnd w:id="1"/>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0DE56BCA" w14:textId="34A3DA2D"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1A0706">
        <w:rPr>
          <w:rFonts w:ascii="Arial" w:hAnsi="Arial" w:cs="Arial"/>
          <w:b/>
        </w:rPr>
        <w:t xml:space="preserve">WASH </w:t>
      </w:r>
    </w:p>
    <w:p w14:paraId="3564E9FE" w14:textId="77777777" w:rsidR="005F1412" w:rsidRPr="00DF762E" w:rsidRDefault="005F1412" w:rsidP="00944013">
      <w:pPr>
        <w:autoSpaceDE w:val="0"/>
        <w:autoSpaceDN w:val="0"/>
        <w:adjustRightInd w:val="0"/>
        <w:rPr>
          <w:rFonts w:ascii="Arial" w:hAnsi="Arial" w:cs="Arial"/>
          <w:b/>
        </w:rPr>
      </w:pPr>
    </w:p>
    <w:p w14:paraId="7B71854B" w14:textId="7A8EED99"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746609">
        <w:rPr>
          <w:rFonts w:ascii="Arial" w:hAnsi="Arial" w:cs="Arial"/>
          <w:b/>
        </w:rPr>
        <w:t>27</w:t>
      </w:r>
      <w:r w:rsidR="001A0706">
        <w:rPr>
          <w:rFonts w:ascii="Arial" w:hAnsi="Arial" w:cs="Arial"/>
          <w:b/>
        </w:rPr>
        <w:t xml:space="preserve"> September 2016</w:t>
      </w:r>
    </w:p>
    <w:p w14:paraId="4D138E26" w14:textId="77777777" w:rsidR="00944013" w:rsidRPr="00DF762E" w:rsidRDefault="00944013" w:rsidP="00944013">
      <w:pPr>
        <w:autoSpaceDE w:val="0"/>
        <w:autoSpaceDN w:val="0"/>
        <w:adjustRightInd w:val="0"/>
        <w:rPr>
          <w:rFonts w:ascii="Arial" w:hAnsi="Arial" w:cs="Arial"/>
        </w:rPr>
      </w:pPr>
    </w:p>
    <w:p w14:paraId="67C58D87" w14:textId="77777777" w:rsidR="003828D4" w:rsidRPr="005E61EF" w:rsidRDefault="00944013" w:rsidP="003828D4">
      <w:pPr>
        <w:autoSpaceDE w:val="0"/>
        <w:autoSpaceDN w:val="0"/>
        <w:adjustRightInd w:val="0"/>
        <w:rPr>
          <w:rFonts w:ascii="Arial" w:hAnsi="Arial" w:cs="Arial"/>
        </w:rPr>
      </w:pPr>
      <w:r w:rsidRPr="00DF762E">
        <w:rPr>
          <w:rFonts w:ascii="Arial" w:hAnsi="Arial" w:cs="Arial"/>
          <w:b/>
        </w:rPr>
        <w:t xml:space="preserve">Programme Area and Specific Project involved: </w:t>
      </w:r>
      <w:r w:rsidR="003828D4" w:rsidRPr="00DF762E">
        <w:rPr>
          <w:rFonts w:ascii="Arial" w:hAnsi="Arial" w:cs="Arial"/>
          <w:b/>
        </w:rPr>
        <w:t>Output:</w:t>
      </w:r>
    </w:p>
    <w:p w14:paraId="3180B28F" w14:textId="5AD275CB" w:rsidR="008C0D5D" w:rsidRPr="003828D4" w:rsidRDefault="000A5684" w:rsidP="00944013">
      <w:pPr>
        <w:autoSpaceDE w:val="0"/>
        <w:autoSpaceDN w:val="0"/>
        <w:adjustRightInd w:val="0"/>
        <w:rPr>
          <w:rFonts w:ascii="Arial" w:hAnsi="Arial" w:cs="Arial"/>
          <w:b/>
        </w:rPr>
      </w:pPr>
      <w:r w:rsidRPr="003828D4">
        <w:rPr>
          <w:rFonts w:ascii="Arial" w:hAnsi="Arial" w:cs="Arial"/>
        </w:rPr>
        <w:t>Community resilience and coping with climate change and natural disasters in Vanuatu</w:t>
      </w:r>
    </w:p>
    <w:p w14:paraId="2F94D906" w14:textId="77777777" w:rsidR="00D46C07" w:rsidRPr="00DF762E" w:rsidRDefault="00D46C07" w:rsidP="00944013">
      <w:pPr>
        <w:autoSpaceDE w:val="0"/>
        <w:autoSpaceDN w:val="0"/>
        <w:adjustRightInd w:val="0"/>
        <w:rPr>
          <w:rFonts w:ascii="Arial" w:hAnsi="Arial" w:cs="Arial"/>
          <w:b/>
          <w:lang w:val="en-GB"/>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42697337" w:rsidR="00D46C07" w:rsidRPr="00DF762E" w:rsidRDefault="00D46C07" w:rsidP="00D46C07">
      <w:pPr>
        <w:rPr>
          <w:rFonts w:ascii="Arial" w:hAnsi="Arial" w:cs="Arial"/>
          <w:b/>
        </w:rPr>
      </w:pPr>
      <w:r w:rsidRPr="00DF762E">
        <w:rPr>
          <w:rFonts w:ascii="Arial" w:hAnsi="Arial" w:cs="Arial"/>
          <w:b/>
        </w:rPr>
        <w:t>Background:</w:t>
      </w:r>
    </w:p>
    <w:p w14:paraId="78C8C3B4" w14:textId="77777777" w:rsidR="001A0706" w:rsidRPr="001A0706" w:rsidRDefault="001A0706" w:rsidP="001A0706">
      <w:pPr>
        <w:jc w:val="both"/>
        <w:rPr>
          <w:rFonts w:ascii="Arial" w:hAnsi="Arial" w:cs="Arial"/>
        </w:rPr>
      </w:pPr>
      <w:r w:rsidRPr="001A0706">
        <w:rPr>
          <w:rFonts w:ascii="Arial" w:hAnsi="Arial" w:cs="Arial"/>
        </w:rPr>
        <w:t>The Government of Vanuatu (GoV) has shown its commitment to improving learning environments for children through the development of Guidelines for the Health Promoting Schools Programme</w:t>
      </w:r>
      <w:r w:rsidRPr="001A0706">
        <w:rPr>
          <w:rFonts w:ascii="Arial" w:hAnsi="Arial" w:cs="Arial"/>
          <w:vertAlign w:val="superscript"/>
        </w:rPr>
        <w:footnoteReference w:id="1"/>
      </w:r>
      <w:r w:rsidRPr="001A0706">
        <w:rPr>
          <w:rFonts w:ascii="Arial" w:hAnsi="Arial" w:cs="Arial"/>
        </w:rPr>
        <w:t>, the Minimum National Quality Standards for all schools</w:t>
      </w:r>
      <w:r w:rsidRPr="001A0706">
        <w:rPr>
          <w:rFonts w:ascii="Arial" w:hAnsi="Arial" w:cs="Arial"/>
          <w:vertAlign w:val="superscript"/>
        </w:rPr>
        <w:footnoteReference w:id="2"/>
      </w:r>
      <w:r w:rsidRPr="001A0706">
        <w:rPr>
          <w:rFonts w:ascii="Arial" w:hAnsi="Arial" w:cs="Arial"/>
        </w:rPr>
        <w:t>, the Vanuatu Inclusive Education Policy</w:t>
      </w:r>
      <w:r w:rsidRPr="001A0706">
        <w:rPr>
          <w:rFonts w:ascii="Arial" w:hAnsi="Arial" w:cs="Arial"/>
          <w:vertAlign w:val="superscript"/>
        </w:rPr>
        <w:footnoteReference w:id="3"/>
      </w:r>
      <w:r w:rsidRPr="001A0706">
        <w:rPr>
          <w:rFonts w:ascii="Arial" w:hAnsi="Arial" w:cs="Arial"/>
        </w:rPr>
        <w:t xml:space="preserve"> and the Vanuatu Education Sector Strategy: 2007-2016</w:t>
      </w:r>
      <w:r w:rsidRPr="001A0706">
        <w:rPr>
          <w:rFonts w:ascii="Arial" w:hAnsi="Arial" w:cs="Arial"/>
          <w:vertAlign w:val="superscript"/>
        </w:rPr>
        <w:footnoteReference w:id="4"/>
      </w:r>
      <w:r w:rsidRPr="001A0706">
        <w:rPr>
          <w:rFonts w:ascii="Arial" w:hAnsi="Arial" w:cs="Arial"/>
        </w:rPr>
        <w:t>. These national and sector plans all recognise the lack of adequate WASH facilities as a bottleneck to improving learning outcomes for all children in Vanuatu. Recently, the Ministry of Education and Training (MoET), the Ministry of Health (MoH), Department of Geology, Mines and Water Resources (DGMWR), UNICEF and other stakeholders held a ‘Call to Action’ workshop to advance the agenda on improving the learning environments for children through WinS. Outcomes highlighted the need for greater collaboration between MoET, MoH and DGMWR, and further investment at the provincial level as current responsibilities for WASH are split across government ministries.  UNICEF has recently secured funding to support WASH in Early Childhood Care Education (ECCE) in Penama province.</w:t>
      </w:r>
    </w:p>
    <w:p w14:paraId="4908D158" w14:textId="77777777" w:rsidR="001A0706" w:rsidRPr="001A0706" w:rsidRDefault="001A0706" w:rsidP="001A0706">
      <w:pPr>
        <w:rPr>
          <w:rFonts w:ascii="Arial" w:hAnsi="Arial" w:cs="Arial"/>
        </w:rPr>
      </w:pPr>
    </w:p>
    <w:p w14:paraId="7253E7AB" w14:textId="77777777" w:rsidR="001A0706" w:rsidRPr="001A0706" w:rsidRDefault="001A0706" w:rsidP="001A0706">
      <w:pPr>
        <w:rPr>
          <w:rFonts w:ascii="Arial" w:hAnsi="Arial" w:cs="Arial"/>
        </w:rPr>
      </w:pPr>
      <w:r w:rsidRPr="001A0706">
        <w:rPr>
          <w:rFonts w:ascii="Arial" w:hAnsi="Arial" w:cs="Arial"/>
        </w:rPr>
        <w:t xml:space="preserve">Under the </w:t>
      </w:r>
      <w:r w:rsidRPr="001A0706">
        <w:rPr>
          <w:rFonts w:ascii="Arial" w:hAnsi="Arial" w:cs="Arial"/>
          <w:lang w:val="en-NZ"/>
        </w:rPr>
        <w:t xml:space="preserve">Vanuatu </w:t>
      </w:r>
      <w:r w:rsidRPr="001A0706">
        <w:rPr>
          <w:rFonts w:ascii="Arial" w:hAnsi="Arial" w:cs="Arial"/>
        </w:rPr>
        <w:t xml:space="preserve">Ministry of Lands, the </w:t>
      </w:r>
      <w:r w:rsidRPr="001A0706">
        <w:rPr>
          <w:rFonts w:ascii="Arial" w:hAnsi="Arial" w:cs="Arial"/>
          <w:lang w:val="en-NZ"/>
        </w:rPr>
        <w:t xml:space="preserve">Department of Geology, Mines &amp; Water Resources (DGMWR) is responsible for ensuring the sustainable use of the national’s water resources. </w:t>
      </w:r>
      <w:r w:rsidRPr="001A0706">
        <w:rPr>
          <w:rFonts w:ascii="Arial" w:hAnsi="Arial" w:cs="Arial"/>
        </w:rPr>
        <w:t>UNICEF currently supports the DGMWR in the development of standards and guidelines, sector coordination, and the delivery of rural water supply and sanitation projects in five of the six provinces in Vanuatu. Project funding comes through the New Zealand Partnership Fund in collaboration with the New Zealand National Committee for UNICEF, and the New Zealand Aid Programme.</w:t>
      </w:r>
    </w:p>
    <w:p w14:paraId="17EB8EFF" w14:textId="77777777" w:rsidR="001A0706" w:rsidRPr="001A0706" w:rsidRDefault="001A0706" w:rsidP="001A0706">
      <w:pPr>
        <w:rPr>
          <w:rFonts w:ascii="Arial" w:hAnsi="Arial" w:cs="Arial"/>
        </w:rPr>
      </w:pPr>
    </w:p>
    <w:p w14:paraId="42D99A7D" w14:textId="77777777" w:rsidR="001A0706" w:rsidRPr="001A0706" w:rsidRDefault="001A0706" w:rsidP="001A0706">
      <w:pPr>
        <w:rPr>
          <w:rFonts w:ascii="Arial" w:hAnsi="Arial" w:cs="Arial"/>
          <w:lang w:val="en-GB"/>
        </w:rPr>
      </w:pPr>
      <w:r w:rsidRPr="001A0706">
        <w:rPr>
          <w:rFonts w:ascii="Arial" w:hAnsi="Arial" w:cs="Arial"/>
        </w:rPr>
        <w:t>Vanuatu is the most dangerous place to live, in terms of exposure to natural disasters and high social vulnerability</w:t>
      </w:r>
      <w:r w:rsidRPr="001A0706">
        <w:rPr>
          <w:rFonts w:ascii="Arial" w:hAnsi="Arial" w:cs="Arial"/>
          <w:vertAlign w:val="superscript"/>
        </w:rPr>
        <w:footnoteReference w:id="5"/>
      </w:r>
      <w:r w:rsidRPr="001A0706">
        <w:rPr>
          <w:rFonts w:ascii="Arial" w:hAnsi="Arial" w:cs="Arial"/>
        </w:rPr>
        <w:t xml:space="preserve">. Recent events include Tropical Cyclone Pam, a Category 5 storm; hit Vanuatu in the evening of 13 March 2015 and El Nino unfolded in 2015/16 placing further stress on communities. Overall, </w:t>
      </w:r>
      <w:r w:rsidRPr="001A0706">
        <w:rPr>
          <w:rFonts w:ascii="Arial" w:hAnsi="Arial" w:cs="Arial"/>
          <w:lang w:val="en-GB"/>
        </w:rPr>
        <w:t xml:space="preserve">Vanuatu is particular vulnerable to natural disasters such as earthquakes, tsunamis, volcanic eruptions, cyclones, floods and droughts.  </w:t>
      </w:r>
    </w:p>
    <w:p w14:paraId="31087CAF" w14:textId="77777777" w:rsidR="001A0706" w:rsidRPr="001A0706" w:rsidRDefault="001A0706" w:rsidP="001A0706">
      <w:pPr>
        <w:rPr>
          <w:rFonts w:ascii="Arial" w:hAnsi="Arial" w:cs="Arial"/>
        </w:rPr>
      </w:pPr>
    </w:p>
    <w:p w14:paraId="2DB03FFF" w14:textId="2DA42629" w:rsidR="00D46C07" w:rsidRPr="001A0706" w:rsidRDefault="001A0706" w:rsidP="001A0706">
      <w:pPr>
        <w:pStyle w:val="Header"/>
        <w:tabs>
          <w:tab w:val="left" w:pos="1080"/>
          <w:tab w:val="left" w:pos="2340"/>
        </w:tabs>
        <w:rPr>
          <w:rFonts w:ascii="Arial" w:hAnsi="Arial" w:cs="Arial"/>
          <w:bCs/>
          <w:lang w:val="en-GB"/>
        </w:rPr>
      </w:pPr>
      <w:r w:rsidRPr="001A0706">
        <w:rPr>
          <w:rFonts w:ascii="Arial" w:hAnsi="Arial" w:cs="Arial"/>
        </w:rPr>
        <w:t>The Vanuatu WASH Sector Coordination is well-established in Vanuatu as an ongoing coordination mechanism for development activities, emergency preparedness and response. The Vanuatu WASH Sector Coordination is chaired a WASH coordinator of DGMWR, with technical support from UNICEF. No formal sub-national WASH Cluster arrangements exist. UNICEF, as highlighted in the Core Commitments for Children in Humanitarian Action, is fully committed to interagency humanitarian reform and supports this through provision of leadership and participation in assigned clusters and sectors.</w:t>
      </w:r>
    </w:p>
    <w:p w14:paraId="765B77E9" w14:textId="77777777" w:rsidR="00DF762E" w:rsidRPr="00DF762E" w:rsidRDefault="00DF762E" w:rsidP="00B41C68">
      <w:pPr>
        <w:pStyle w:val="Header"/>
        <w:pBdr>
          <w:bottom w:val="single" w:sz="4" w:space="1" w:color="auto"/>
        </w:pBdr>
        <w:tabs>
          <w:tab w:val="left" w:pos="1080"/>
          <w:tab w:val="left" w:pos="2340"/>
        </w:tabs>
        <w:spacing w:before="120" w:after="120"/>
        <w:rPr>
          <w:rFonts w:ascii="Arial" w:hAnsi="Arial" w:cs="Arial"/>
          <w:bCs/>
          <w:lang w:val="en-GB"/>
        </w:rPr>
      </w:pPr>
    </w:p>
    <w:p w14:paraId="7E73A9CB" w14:textId="76AC8213" w:rsidR="00D46C07" w:rsidRPr="00DF762E" w:rsidRDefault="00944013" w:rsidP="00DF762E">
      <w:pPr>
        <w:pStyle w:val="Header"/>
        <w:tabs>
          <w:tab w:val="left" w:pos="1080"/>
          <w:tab w:val="left" w:pos="2340"/>
        </w:tabs>
        <w:spacing w:line="276" w:lineRule="auto"/>
        <w:rPr>
          <w:rFonts w:ascii="Arial" w:hAnsi="Arial" w:cs="Arial"/>
        </w:rPr>
      </w:pPr>
      <w:r w:rsidRPr="00DF762E">
        <w:rPr>
          <w:rFonts w:ascii="Arial" w:hAnsi="Arial" w:cs="Arial"/>
          <w:b/>
        </w:rPr>
        <w:t xml:space="preserve">Purpose of Assignment:  </w:t>
      </w:r>
    </w:p>
    <w:p w14:paraId="388E1C02" w14:textId="77777777" w:rsidR="001A0706" w:rsidRPr="001A0706" w:rsidRDefault="001A0706" w:rsidP="001A0706">
      <w:pPr>
        <w:tabs>
          <w:tab w:val="left" w:pos="1080"/>
          <w:tab w:val="left" w:pos="2340"/>
          <w:tab w:val="center" w:pos="4320"/>
          <w:tab w:val="right" w:pos="8640"/>
        </w:tabs>
        <w:spacing w:line="276" w:lineRule="auto"/>
        <w:rPr>
          <w:rFonts w:ascii="Arial" w:hAnsi="Arial" w:cs="Arial"/>
        </w:rPr>
      </w:pPr>
      <w:r w:rsidRPr="001A0706">
        <w:rPr>
          <w:rFonts w:ascii="Arial" w:hAnsi="Arial" w:cs="Arial"/>
        </w:rPr>
        <w:t>The consultant shall provide support to UNICEF, Department of Geology, Mines, and Water Resources and Ministry of Education and Training in the implementation of UNICEF’s WASH programme.</w:t>
      </w:r>
    </w:p>
    <w:p w14:paraId="2E1419B6" w14:textId="77777777" w:rsidR="00DF762E" w:rsidRPr="00DF762E" w:rsidRDefault="00DF762E" w:rsidP="00B41C68">
      <w:pPr>
        <w:pStyle w:val="Header"/>
        <w:pBdr>
          <w:bottom w:val="single" w:sz="4" w:space="1" w:color="auto"/>
        </w:pBdr>
        <w:tabs>
          <w:tab w:val="left" w:pos="1080"/>
          <w:tab w:val="left" w:pos="2340"/>
        </w:tabs>
        <w:spacing w:line="276" w:lineRule="auto"/>
        <w:rPr>
          <w:rFonts w:ascii="Arial" w:hAnsi="Arial" w:cs="Arial"/>
        </w:rPr>
      </w:pPr>
    </w:p>
    <w:p w14:paraId="39F65B1E" w14:textId="2FFA29E2" w:rsidR="00133939" w:rsidRDefault="00944013" w:rsidP="000C7B54">
      <w:pPr>
        <w:autoSpaceDE w:val="0"/>
        <w:autoSpaceDN w:val="0"/>
        <w:adjustRightInd w:val="0"/>
        <w:spacing w:before="120" w:after="120" w:line="276" w:lineRule="auto"/>
        <w:rPr>
          <w:rFonts w:ascii="Arial" w:hAnsi="Arial" w:cs="Arial"/>
          <w:b/>
        </w:rPr>
      </w:pPr>
      <w:r w:rsidRPr="00DF762E">
        <w:rPr>
          <w:rFonts w:ascii="Arial" w:hAnsi="Arial" w:cs="Arial"/>
          <w:b/>
        </w:rPr>
        <w:t xml:space="preserve">Scope of Work/ Work Assignments:  </w:t>
      </w:r>
    </w:p>
    <w:p w14:paraId="1C02AF7E" w14:textId="77777777" w:rsidR="001A0706" w:rsidRDefault="001A0706" w:rsidP="001A0706">
      <w:pPr>
        <w:rPr>
          <w:rFonts w:ascii="Arial" w:hAnsi="Arial" w:cs="Arial"/>
        </w:rPr>
      </w:pPr>
      <w:r w:rsidRPr="001A0706">
        <w:rPr>
          <w:rFonts w:ascii="Arial" w:hAnsi="Arial" w:cs="Arial"/>
        </w:rPr>
        <w:t xml:space="preserve">In his or her work with DGMWR, MoET and UNICEF, the consultant shall carry out the following activities in support of the following areas of work: </w:t>
      </w:r>
    </w:p>
    <w:p w14:paraId="63EFF409" w14:textId="77777777" w:rsidR="001A0706" w:rsidRPr="001A0706" w:rsidRDefault="001A0706" w:rsidP="001A0706">
      <w:pPr>
        <w:rPr>
          <w:rFonts w:ascii="Arial" w:hAnsi="Arial" w:cs="Arial"/>
        </w:rPr>
      </w:pPr>
    </w:p>
    <w:p w14:paraId="2E1343E6" w14:textId="77777777" w:rsidR="001A0706" w:rsidRPr="001A0706" w:rsidRDefault="001A0706" w:rsidP="001A0706">
      <w:pPr>
        <w:numPr>
          <w:ilvl w:val="0"/>
          <w:numId w:val="22"/>
        </w:numPr>
        <w:autoSpaceDE w:val="0"/>
        <w:autoSpaceDN w:val="0"/>
        <w:adjustRightInd w:val="0"/>
        <w:contextualSpacing/>
        <w:rPr>
          <w:rFonts w:ascii="Arial" w:hAnsi="Arial" w:cs="Arial"/>
          <w:b/>
        </w:rPr>
      </w:pPr>
      <w:r w:rsidRPr="001A0706">
        <w:rPr>
          <w:rFonts w:ascii="Arial" w:hAnsi="Arial" w:cs="Arial"/>
          <w:b/>
        </w:rPr>
        <w:t>WASH in Schools</w:t>
      </w:r>
    </w:p>
    <w:p w14:paraId="3420A134" w14:textId="77777777" w:rsidR="001A0706" w:rsidRPr="001A0706" w:rsidRDefault="001A0706" w:rsidP="001A0706">
      <w:pPr>
        <w:ind w:left="360"/>
        <w:jc w:val="both"/>
        <w:rPr>
          <w:rFonts w:ascii="Arial" w:hAnsi="Arial" w:cs="Arial"/>
          <w:lang w:val="en-NZ"/>
        </w:rPr>
      </w:pPr>
      <w:r w:rsidRPr="001A0706">
        <w:rPr>
          <w:rFonts w:ascii="Arial" w:hAnsi="Arial" w:cs="Arial"/>
          <w:lang w:val="en-NZ"/>
        </w:rPr>
        <w:t>Provide technical support to the development of UNICEF WASH in Schools programmes.</w:t>
      </w:r>
    </w:p>
    <w:p w14:paraId="62D508C7" w14:textId="77777777" w:rsidR="001A0706" w:rsidRPr="001A0706" w:rsidRDefault="001A0706" w:rsidP="001A0706">
      <w:pPr>
        <w:numPr>
          <w:ilvl w:val="1"/>
          <w:numId w:val="23"/>
        </w:numPr>
        <w:autoSpaceDE w:val="0"/>
        <w:autoSpaceDN w:val="0"/>
        <w:adjustRightInd w:val="0"/>
        <w:contextualSpacing/>
        <w:rPr>
          <w:rFonts w:ascii="Arial" w:hAnsi="Arial" w:cs="Arial"/>
        </w:rPr>
      </w:pPr>
      <w:r w:rsidRPr="001A0706">
        <w:rPr>
          <w:rFonts w:ascii="Arial" w:hAnsi="Arial" w:cs="Arial"/>
        </w:rPr>
        <w:lastRenderedPageBreak/>
        <w:t xml:space="preserve">Conduct baseline assessment of ECCE in Penama </w:t>
      </w:r>
    </w:p>
    <w:p w14:paraId="21BE9FAC" w14:textId="77777777" w:rsidR="001A0706" w:rsidRPr="001A0706" w:rsidRDefault="001A0706" w:rsidP="001A0706">
      <w:pPr>
        <w:numPr>
          <w:ilvl w:val="1"/>
          <w:numId w:val="23"/>
        </w:numPr>
        <w:autoSpaceDE w:val="0"/>
        <w:autoSpaceDN w:val="0"/>
        <w:adjustRightInd w:val="0"/>
        <w:contextualSpacing/>
        <w:rPr>
          <w:rFonts w:ascii="Arial" w:hAnsi="Arial" w:cs="Arial"/>
        </w:rPr>
      </w:pPr>
      <w:r w:rsidRPr="001A0706">
        <w:rPr>
          <w:rFonts w:ascii="Arial" w:hAnsi="Arial" w:cs="Arial"/>
        </w:rPr>
        <w:t xml:space="preserve">Develop partnership for implementation of ECCE in Schools Penama </w:t>
      </w:r>
    </w:p>
    <w:p w14:paraId="29005A1C" w14:textId="77777777" w:rsidR="001A0706" w:rsidRPr="001A0706" w:rsidRDefault="001A0706" w:rsidP="001A0706">
      <w:pPr>
        <w:numPr>
          <w:ilvl w:val="1"/>
          <w:numId w:val="23"/>
        </w:numPr>
        <w:autoSpaceDE w:val="0"/>
        <w:autoSpaceDN w:val="0"/>
        <w:adjustRightInd w:val="0"/>
        <w:contextualSpacing/>
        <w:rPr>
          <w:rFonts w:ascii="Arial" w:hAnsi="Arial" w:cs="Arial"/>
        </w:rPr>
      </w:pPr>
      <w:r w:rsidRPr="001A0706">
        <w:rPr>
          <w:rFonts w:ascii="Arial" w:hAnsi="Arial" w:cs="Arial"/>
        </w:rPr>
        <w:t xml:space="preserve">Conduct 2 programmatic visits on WinS </w:t>
      </w:r>
    </w:p>
    <w:p w14:paraId="0D8DA8BC" w14:textId="77777777" w:rsidR="001A0706" w:rsidRPr="001A0706" w:rsidRDefault="001A0706" w:rsidP="001A0706">
      <w:pPr>
        <w:numPr>
          <w:ilvl w:val="1"/>
          <w:numId w:val="23"/>
        </w:numPr>
        <w:autoSpaceDE w:val="0"/>
        <w:autoSpaceDN w:val="0"/>
        <w:adjustRightInd w:val="0"/>
        <w:contextualSpacing/>
        <w:rPr>
          <w:rFonts w:ascii="Arial" w:hAnsi="Arial" w:cs="Arial"/>
        </w:rPr>
      </w:pPr>
      <w:r w:rsidRPr="001A0706">
        <w:rPr>
          <w:rFonts w:ascii="Arial" w:hAnsi="Arial" w:cs="Arial"/>
        </w:rPr>
        <w:t>Support WASH in Schools stakeholders to complete the online Emory WASH in Schools course.</w:t>
      </w:r>
    </w:p>
    <w:p w14:paraId="0E8EEF7E" w14:textId="77777777" w:rsidR="001A0706" w:rsidRPr="001A0706" w:rsidRDefault="001A0706" w:rsidP="001A0706">
      <w:pPr>
        <w:numPr>
          <w:ilvl w:val="1"/>
          <w:numId w:val="23"/>
        </w:numPr>
        <w:autoSpaceDE w:val="0"/>
        <w:autoSpaceDN w:val="0"/>
        <w:adjustRightInd w:val="0"/>
        <w:contextualSpacing/>
        <w:rPr>
          <w:rFonts w:ascii="Arial" w:hAnsi="Arial" w:cs="Arial"/>
        </w:rPr>
      </w:pPr>
      <w:r w:rsidRPr="001A0706">
        <w:rPr>
          <w:rFonts w:ascii="Arial" w:hAnsi="Arial" w:cs="Arial"/>
        </w:rPr>
        <w:t>Contribute to advocacy of WinS through meetings, coordination and mainstreaming (Gender, MHM, children with a disability, WinS in Emergency).</w:t>
      </w:r>
    </w:p>
    <w:p w14:paraId="1C867B49" w14:textId="77777777" w:rsidR="001A0706" w:rsidRPr="001A0706" w:rsidRDefault="001A0706" w:rsidP="001A0706">
      <w:pPr>
        <w:numPr>
          <w:ilvl w:val="1"/>
          <w:numId w:val="23"/>
        </w:numPr>
        <w:autoSpaceDE w:val="0"/>
        <w:autoSpaceDN w:val="0"/>
        <w:adjustRightInd w:val="0"/>
        <w:contextualSpacing/>
        <w:rPr>
          <w:rFonts w:ascii="Arial" w:hAnsi="Arial" w:cs="Arial"/>
        </w:rPr>
      </w:pPr>
      <w:r w:rsidRPr="001A0706">
        <w:rPr>
          <w:rFonts w:ascii="Arial" w:hAnsi="Arial" w:cs="Arial"/>
        </w:rPr>
        <w:t xml:space="preserve">Support development of detailed design for future WinS Programme </w:t>
      </w:r>
    </w:p>
    <w:p w14:paraId="6E345012" w14:textId="77777777" w:rsidR="001A0706" w:rsidRPr="001A0706" w:rsidRDefault="001A0706" w:rsidP="001A0706">
      <w:pPr>
        <w:autoSpaceDE w:val="0"/>
        <w:autoSpaceDN w:val="0"/>
        <w:adjustRightInd w:val="0"/>
        <w:ind w:left="1080"/>
        <w:contextualSpacing/>
        <w:rPr>
          <w:rFonts w:ascii="Arial" w:hAnsi="Arial" w:cs="Arial"/>
        </w:rPr>
      </w:pPr>
    </w:p>
    <w:p w14:paraId="67F0B75A" w14:textId="77777777" w:rsidR="001A0706" w:rsidRPr="001A0706" w:rsidRDefault="001A0706" w:rsidP="001A0706">
      <w:pPr>
        <w:numPr>
          <w:ilvl w:val="0"/>
          <w:numId w:val="22"/>
        </w:numPr>
        <w:autoSpaceDE w:val="0"/>
        <w:autoSpaceDN w:val="0"/>
        <w:adjustRightInd w:val="0"/>
        <w:contextualSpacing/>
        <w:rPr>
          <w:rFonts w:ascii="Arial" w:hAnsi="Arial" w:cs="Arial"/>
          <w:b/>
        </w:rPr>
      </w:pPr>
      <w:r w:rsidRPr="001A0706">
        <w:rPr>
          <w:rFonts w:ascii="Arial" w:hAnsi="Arial" w:cs="Arial"/>
          <w:b/>
        </w:rPr>
        <w:t>WASH Sector Coordination</w:t>
      </w:r>
    </w:p>
    <w:p w14:paraId="18B6D86E" w14:textId="77777777" w:rsidR="001A0706" w:rsidRPr="001A0706" w:rsidRDefault="001A0706" w:rsidP="001A0706">
      <w:pPr>
        <w:ind w:left="360"/>
        <w:jc w:val="both"/>
        <w:rPr>
          <w:rFonts w:ascii="Arial" w:hAnsi="Arial" w:cs="Arial"/>
          <w:lang w:val="en-NZ"/>
        </w:rPr>
      </w:pPr>
      <w:r w:rsidRPr="001A0706">
        <w:rPr>
          <w:rFonts w:ascii="Arial" w:hAnsi="Arial" w:cs="Arial"/>
          <w:lang w:val="en-NZ"/>
        </w:rPr>
        <w:t>Provide technical support to the Vanuatu WASH Sector Coordination Group.</w:t>
      </w:r>
    </w:p>
    <w:p w14:paraId="3999BA8B" w14:textId="77777777" w:rsidR="001A0706" w:rsidRPr="001A0706" w:rsidRDefault="001A0706" w:rsidP="001A0706">
      <w:pPr>
        <w:numPr>
          <w:ilvl w:val="1"/>
          <w:numId w:val="24"/>
        </w:numPr>
        <w:autoSpaceDE w:val="0"/>
        <w:autoSpaceDN w:val="0"/>
        <w:adjustRightInd w:val="0"/>
        <w:contextualSpacing/>
        <w:rPr>
          <w:rFonts w:ascii="Arial" w:hAnsi="Arial" w:cs="Arial"/>
        </w:rPr>
      </w:pPr>
      <w:r w:rsidRPr="001A0706">
        <w:rPr>
          <w:rFonts w:ascii="Arial" w:hAnsi="Arial" w:cs="Arial"/>
        </w:rPr>
        <w:t>Support development of evidence base and use of PHAST and DWSSP, through field monitoring and audits.</w:t>
      </w:r>
    </w:p>
    <w:p w14:paraId="59964461" w14:textId="77777777" w:rsidR="001A0706" w:rsidRPr="001A0706" w:rsidRDefault="001A0706" w:rsidP="001A0706">
      <w:pPr>
        <w:numPr>
          <w:ilvl w:val="1"/>
          <w:numId w:val="24"/>
        </w:numPr>
        <w:autoSpaceDE w:val="0"/>
        <w:autoSpaceDN w:val="0"/>
        <w:adjustRightInd w:val="0"/>
        <w:contextualSpacing/>
        <w:rPr>
          <w:rFonts w:ascii="Arial" w:hAnsi="Arial" w:cs="Arial"/>
        </w:rPr>
      </w:pPr>
      <w:r w:rsidRPr="001A0706">
        <w:rPr>
          <w:rFonts w:ascii="Arial" w:hAnsi="Arial" w:cs="Arial"/>
        </w:rPr>
        <w:t>Support DGMWR to finalize plumbers training manual, conduct provincial plumbers training in at least 2 provinces and develop a roadmap to be accredited by Vanuatu National Training Council</w:t>
      </w:r>
    </w:p>
    <w:p w14:paraId="74CA2DED" w14:textId="77777777" w:rsidR="001A0706" w:rsidRPr="001A0706" w:rsidRDefault="001A0706" w:rsidP="001A0706">
      <w:pPr>
        <w:numPr>
          <w:ilvl w:val="1"/>
          <w:numId w:val="24"/>
        </w:numPr>
        <w:autoSpaceDE w:val="0"/>
        <w:autoSpaceDN w:val="0"/>
        <w:adjustRightInd w:val="0"/>
        <w:contextualSpacing/>
        <w:rPr>
          <w:rFonts w:ascii="Arial" w:hAnsi="Arial" w:cs="Arial"/>
        </w:rPr>
      </w:pPr>
      <w:r w:rsidRPr="001A0706">
        <w:rPr>
          <w:rFonts w:ascii="Arial" w:hAnsi="Arial" w:cs="Arial"/>
        </w:rPr>
        <w:t>Conduct capacity building training of DGMWR staff to improve monitoring and regulatory role.</w:t>
      </w:r>
    </w:p>
    <w:p w14:paraId="0B50E47F" w14:textId="77777777" w:rsidR="001A0706" w:rsidRPr="001A0706" w:rsidRDefault="001A0706" w:rsidP="001A0706">
      <w:pPr>
        <w:numPr>
          <w:ilvl w:val="1"/>
          <w:numId w:val="24"/>
        </w:numPr>
        <w:autoSpaceDE w:val="0"/>
        <w:autoSpaceDN w:val="0"/>
        <w:adjustRightInd w:val="0"/>
        <w:contextualSpacing/>
        <w:rPr>
          <w:rFonts w:ascii="Arial" w:hAnsi="Arial" w:cs="Arial"/>
        </w:rPr>
      </w:pPr>
      <w:r w:rsidRPr="001A0706">
        <w:rPr>
          <w:rFonts w:ascii="Arial" w:hAnsi="Arial" w:cs="Arial"/>
        </w:rPr>
        <w:t>Develop regular WASH briefs and provide input to the DGMWR monthly sectoral update (for internal government and external stakeholder consumption)</w:t>
      </w:r>
    </w:p>
    <w:p w14:paraId="395A984E" w14:textId="77777777" w:rsidR="001A0706" w:rsidRPr="001A0706" w:rsidRDefault="001A0706" w:rsidP="001A0706">
      <w:pPr>
        <w:numPr>
          <w:ilvl w:val="1"/>
          <w:numId w:val="24"/>
        </w:numPr>
        <w:autoSpaceDE w:val="0"/>
        <w:autoSpaceDN w:val="0"/>
        <w:adjustRightInd w:val="0"/>
        <w:contextualSpacing/>
        <w:rPr>
          <w:rFonts w:ascii="Arial" w:hAnsi="Arial" w:cs="Arial"/>
        </w:rPr>
      </w:pPr>
      <w:r w:rsidRPr="001A0706">
        <w:rPr>
          <w:rFonts w:ascii="Arial" w:hAnsi="Arial" w:cs="Arial"/>
        </w:rPr>
        <w:t>Support coordination related aspects during development of the new National Water Policy and equivalent Hygiene and Sanitation roadmaps, with associated consultations</w:t>
      </w:r>
    </w:p>
    <w:p w14:paraId="6391BCB4" w14:textId="77777777" w:rsidR="001A0706" w:rsidRPr="001A0706" w:rsidRDefault="001A0706" w:rsidP="001A0706">
      <w:pPr>
        <w:autoSpaceDE w:val="0"/>
        <w:autoSpaceDN w:val="0"/>
        <w:adjustRightInd w:val="0"/>
        <w:ind w:left="1080"/>
        <w:contextualSpacing/>
        <w:rPr>
          <w:rFonts w:ascii="Arial" w:hAnsi="Arial" w:cs="Arial"/>
        </w:rPr>
      </w:pPr>
    </w:p>
    <w:p w14:paraId="69013375" w14:textId="77777777" w:rsidR="001A0706" w:rsidRPr="001A0706" w:rsidRDefault="001A0706" w:rsidP="001A0706">
      <w:pPr>
        <w:numPr>
          <w:ilvl w:val="0"/>
          <w:numId w:val="22"/>
        </w:numPr>
        <w:autoSpaceDE w:val="0"/>
        <w:autoSpaceDN w:val="0"/>
        <w:adjustRightInd w:val="0"/>
        <w:contextualSpacing/>
        <w:rPr>
          <w:rFonts w:ascii="Arial" w:hAnsi="Arial" w:cs="Arial"/>
          <w:b/>
        </w:rPr>
      </w:pPr>
      <w:r w:rsidRPr="001A0706">
        <w:rPr>
          <w:rFonts w:ascii="Arial" w:hAnsi="Arial" w:cs="Arial"/>
          <w:b/>
        </w:rPr>
        <w:t>WASH Data and Knowledge Management</w:t>
      </w:r>
    </w:p>
    <w:p w14:paraId="6E20092F" w14:textId="77777777" w:rsidR="001A0706" w:rsidRPr="001A0706" w:rsidRDefault="001A0706" w:rsidP="001A0706">
      <w:pPr>
        <w:ind w:left="360"/>
        <w:jc w:val="both"/>
        <w:rPr>
          <w:rFonts w:ascii="Arial" w:hAnsi="Arial" w:cs="Arial"/>
          <w:lang w:val="en-NZ"/>
        </w:rPr>
      </w:pPr>
      <w:r w:rsidRPr="001A0706">
        <w:rPr>
          <w:rFonts w:ascii="Arial" w:hAnsi="Arial" w:cs="Arial"/>
          <w:lang w:val="en-NZ"/>
        </w:rPr>
        <w:t>Support the establishment of water sector data collection and monitoring system, building on the ongoing water resources inventory.</w:t>
      </w:r>
    </w:p>
    <w:p w14:paraId="5E0D4FAD" w14:textId="77777777" w:rsidR="001A0706" w:rsidRPr="001A0706" w:rsidRDefault="001A0706" w:rsidP="001A0706">
      <w:pPr>
        <w:numPr>
          <w:ilvl w:val="1"/>
          <w:numId w:val="25"/>
        </w:numPr>
        <w:autoSpaceDE w:val="0"/>
        <w:autoSpaceDN w:val="0"/>
        <w:adjustRightInd w:val="0"/>
        <w:contextualSpacing/>
        <w:rPr>
          <w:rFonts w:ascii="Arial" w:hAnsi="Arial" w:cs="Arial"/>
        </w:rPr>
      </w:pPr>
      <w:r w:rsidRPr="001A0706">
        <w:rPr>
          <w:rFonts w:ascii="Arial" w:hAnsi="Arial" w:cs="Arial"/>
        </w:rPr>
        <w:t>Support mobile water resources and sanitation related data collection including assistance with coordination, logistics, procurement, planning, data processing and reporting.</w:t>
      </w:r>
    </w:p>
    <w:p w14:paraId="3FB68693" w14:textId="77777777" w:rsidR="001A0706" w:rsidRPr="001A0706" w:rsidRDefault="001A0706" w:rsidP="001A0706">
      <w:pPr>
        <w:numPr>
          <w:ilvl w:val="1"/>
          <w:numId w:val="25"/>
        </w:numPr>
        <w:autoSpaceDE w:val="0"/>
        <w:autoSpaceDN w:val="0"/>
        <w:adjustRightInd w:val="0"/>
        <w:contextualSpacing/>
        <w:rPr>
          <w:rFonts w:ascii="Arial" w:hAnsi="Arial" w:cs="Arial"/>
        </w:rPr>
      </w:pPr>
      <w:r w:rsidRPr="001A0706">
        <w:rPr>
          <w:rFonts w:ascii="Arial" w:hAnsi="Arial" w:cs="Arial"/>
        </w:rPr>
        <w:t>Assist DGMWR and partners in analyzing water and sanitation data across available WASH and health databases to inform planning, programs, or projects, and in preparing report and maps using the data.</w:t>
      </w:r>
    </w:p>
    <w:p w14:paraId="5855905D" w14:textId="77777777" w:rsidR="001A0706" w:rsidRPr="001A0706" w:rsidRDefault="001A0706" w:rsidP="001A0706">
      <w:pPr>
        <w:numPr>
          <w:ilvl w:val="1"/>
          <w:numId w:val="25"/>
        </w:numPr>
        <w:autoSpaceDE w:val="0"/>
        <w:autoSpaceDN w:val="0"/>
        <w:adjustRightInd w:val="0"/>
        <w:contextualSpacing/>
        <w:rPr>
          <w:rFonts w:ascii="Arial" w:hAnsi="Arial" w:cs="Arial"/>
        </w:rPr>
      </w:pPr>
      <w:r w:rsidRPr="001A0706">
        <w:rPr>
          <w:rFonts w:ascii="Arial" w:hAnsi="Arial" w:cs="Arial"/>
        </w:rPr>
        <w:t>Prepare a case study on WASH in resilience (DWSSP) or WASH in Schools or Water Utilities Management, as requested/confirmed by the WASH sector coordinator and UNICEF supervisor.</w:t>
      </w:r>
    </w:p>
    <w:p w14:paraId="65902D41" w14:textId="77777777" w:rsidR="001A0706" w:rsidRPr="001A0706" w:rsidRDefault="001A0706" w:rsidP="001A0706">
      <w:pPr>
        <w:numPr>
          <w:ilvl w:val="1"/>
          <w:numId w:val="25"/>
        </w:numPr>
        <w:autoSpaceDE w:val="0"/>
        <w:autoSpaceDN w:val="0"/>
        <w:adjustRightInd w:val="0"/>
        <w:contextualSpacing/>
        <w:rPr>
          <w:rFonts w:ascii="Arial" w:hAnsi="Arial" w:cs="Arial"/>
        </w:rPr>
      </w:pPr>
      <w:r w:rsidRPr="001A0706">
        <w:rPr>
          <w:rFonts w:ascii="Arial" w:hAnsi="Arial" w:cs="Arial"/>
        </w:rPr>
        <w:t>Support DGMWR to use data and graphics in the DGMWR monthly sectoral update (for internal government and external stakeholder consumption)</w:t>
      </w:r>
    </w:p>
    <w:p w14:paraId="6724FEE9" w14:textId="77777777" w:rsidR="001A0706" w:rsidRPr="001A0706" w:rsidRDefault="001A0706" w:rsidP="001A0706">
      <w:pPr>
        <w:autoSpaceDE w:val="0"/>
        <w:autoSpaceDN w:val="0"/>
        <w:adjustRightInd w:val="0"/>
        <w:ind w:left="1080"/>
        <w:contextualSpacing/>
        <w:rPr>
          <w:rFonts w:ascii="Arial" w:hAnsi="Arial" w:cs="Arial"/>
        </w:rPr>
      </w:pPr>
    </w:p>
    <w:p w14:paraId="11542ADB" w14:textId="77777777" w:rsidR="001A0706" w:rsidRPr="001A0706" w:rsidRDefault="001A0706" w:rsidP="001A0706">
      <w:pPr>
        <w:numPr>
          <w:ilvl w:val="0"/>
          <w:numId w:val="22"/>
        </w:numPr>
        <w:autoSpaceDE w:val="0"/>
        <w:autoSpaceDN w:val="0"/>
        <w:adjustRightInd w:val="0"/>
        <w:contextualSpacing/>
        <w:rPr>
          <w:rFonts w:ascii="Arial" w:hAnsi="Arial" w:cs="Arial"/>
          <w:b/>
        </w:rPr>
      </w:pPr>
      <w:r w:rsidRPr="001A0706">
        <w:rPr>
          <w:rFonts w:ascii="Arial" w:hAnsi="Arial" w:cs="Arial"/>
          <w:b/>
        </w:rPr>
        <w:t>Support Emergency preparedness and response</w:t>
      </w:r>
    </w:p>
    <w:p w14:paraId="64FCD0D9" w14:textId="77777777" w:rsidR="001A0706" w:rsidRPr="001A0706" w:rsidRDefault="001A0706" w:rsidP="001A0706">
      <w:pPr>
        <w:autoSpaceDE w:val="0"/>
        <w:autoSpaceDN w:val="0"/>
        <w:adjustRightInd w:val="0"/>
        <w:ind w:left="360"/>
        <w:rPr>
          <w:rFonts w:ascii="Arial" w:hAnsi="Arial" w:cs="Arial"/>
        </w:rPr>
      </w:pPr>
      <w:r w:rsidRPr="001A0706">
        <w:rPr>
          <w:rFonts w:ascii="Arial" w:hAnsi="Arial" w:cs="Arial"/>
        </w:rPr>
        <w:t>Support the WASH cluster/WASH Sector Coordination in emergency preparedness and response.</w:t>
      </w:r>
    </w:p>
    <w:p w14:paraId="51E50500" w14:textId="77777777" w:rsidR="001A0706" w:rsidRPr="001A0706" w:rsidRDefault="001A0706" w:rsidP="001A0706">
      <w:pPr>
        <w:autoSpaceDE w:val="0"/>
        <w:autoSpaceDN w:val="0"/>
        <w:adjustRightInd w:val="0"/>
        <w:ind w:left="1080" w:hanging="371"/>
        <w:contextualSpacing/>
        <w:rPr>
          <w:rFonts w:ascii="Arial" w:hAnsi="Arial" w:cs="Arial"/>
        </w:rPr>
      </w:pPr>
      <w:r w:rsidRPr="001A0706">
        <w:rPr>
          <w:rFonts w:ascii="Arial" w:hAnsi="Arial" w:cs="Arial"/>
        </w:rPr>
        <w:t>4.1 Assist in the development of WASH Cluster/WASH Sector Coordination preparedness documents, including contingency plans, 4W matrix, maps, assessment forms, standards, stocklist and partner mapping.</w:t>
      </w:r>
    </w:p>
    <w:p w14:paraId="59FDA79E" w14:textId="77777777" w:rsidR="001A0706" w:rsidRPr="001A0706" w:rsidRDefault="001A0706" w:rsidP="001A0706">
      <w:pPr>
        <w:numPr>
          <w:ilvl w:val="0"/>
          <w:numId w:val="26"/>
        </w:numPr>
        <w:autoSpaceDE w:val="0"/>
        <w:autoSpaceDN w:val="0"/>
        <w:adjustRightInd w:val="0"/>
        <w:contextualSpacing/>
        <w:rPr>
          <w:rFonts w:ascii="Arial" w:hAnsi="Arial" w:cs="Arial"/>
          <w:vanish/>
        </w:rPr>
      </w:pPr>
    </w:p>
    <w:p w14:paraId="73143156" w14:textId="77777777" w:rsidR="001A0706" w:rsidRPr="001A0706" w:rsidRDefault="001A0706" w:rsidP="001A0706">
      <w:pPr>
        <w:numPr>
          <w:ilvl w:val="0"/>
          <w:numId w:val="26"/>
        </w:numPr>
        <w:autoSpaceDE w:val="0"/>
        <w:autoSpaceDN w:val="0"/>
        <w:adjustRightInd w:val="0"/>
        <w:contextualSpacing/>
        <w:rPr>
          <w:rFonts w:ascii="Arial" w:hAnsi="Arial" w:cs="Arial"/>
          <w:vanish/>
        </w:rPr>
      </w:pPr>
    </w:p>
    <w:p w14:paraId="68B5A162" w14:textId="77777777" w:rsidR="001A0706" w:rsidRPr="001A0706" w:rsidRDefault="001A0706" w:rsidP="001A0706">
      <w:pPr>
        <w:numPr>
          <w:ilvl w:val="1"/>
          <w:numId w:val="26"/>
        </w:numPr>
        <w:autoSpaceDE w:val="0"/>
        <w:autoSpaceDN w:val="0"/>
        <w:adjustRightInd w:val="0"/>
        <w:contextualSpacing/>
        <w:rPr>
          <w:rFonts w:ascii="Arial" w:hAnsi="Arial" w:cs="Arial"/>
          <w:vanish/>
        </w:rPr>
      </w:pPr>
    </w:p>
    <w:p w14:paraId="1AFD113C" w14:textId="77777777" w:rsidR="001A0706" w:rsidRPr="001A0706" w:rsidRDefault="001A0706" w:rsidP="001A0706">
      <w:pPr>
        <w:numPr>
          <w:ilvl w:val="1"/>
          <w:numId w:val="26"/>
        </w:numPr>
        <w:autoSpaceDE w:val="0"/>
        <w:autoSpaceDN w:val="0"/>
        <w:adjustRightInd w:val="0"/>
        <w:contextualSpacing/>
        <w:rPr>
          <w:rFonts w:ascii="Arial" w:hAnsi="Arial" w:cs="Arial"/>
        </w:rPr>
      </w:pPr>
      <w:r w:rsidRPr="001A0706">
        <w:rPr>
          <w:rFonts w:ascii="Arial" w:hAnsi="Arial" w:cs="Arial"/>
        </w:rPr>
        <w:t xml:space="preserve"> In the event of an emergency, provide technical support to UNICEF and DGMWR response.</w:t>
      </w:r>
    </w:p>
    <w:p w14:paraId="7F45A99C" w14:textId="77777777" w:rsidR="00D46C07" w:rsidRPr="00DF762E" w:rsidRDefault="00D46C07" w:rsidP="00B41C68">
      <w:pPr>
        <w:pBdr>
          <w:bottom w:val="single" w:sz="4" w:space="1" w:color="auto"/>
        </w:pBdr>
        <w:jc w:val="both"/>
        <w:rPr>
          <w:rFonts w:ascii="Arial" w:hAnsi="Arial" w:cs="Arial"/>
          <w:b/>
        </w:rPr>
      </w:pPr>
    </w:p>
    <w:p w14:paraId="3B124F9C" w14:textId="51D0C06B" w:rsidR="00944013" w:rsidRPr="00DF762E" w:rsidRDefault="00944013" w:rsidP="00DF762E">
      <w:pPr>
        <w:jc w:val="both"/>
        <w:rPr>
          <w:rFonts w:ascii="Arial" w:hAnsi="Arial" w:cs="Arial"/>
        </w:rPr>
      </w:pPr>
      <w:r w:rsidRPr="00DF762E">
        <w:rPr>
          <w:rFonts w:ascii="Arial" w:hAnsi="Arial" w:cs="Arial"/>
          <w:b/>
        </w:rPr>
        <w:t>W</w:t>
      </w:r>
      <w:r w:rsidR="00382BE9" w:rsidRPr="00DF762E">
        <w:rPr>
          <w:rFonts w:ascii="Arial" w:hAnsi="Arial" w:cs="Arial"/>
          <w:b/>
        </w:rPr>
        <w:t xml:space="preserve">ork Schedule: </w:t>
      </w:r>
    </w:p>
    <w:p w14:paraId="3050587A" w14:textId="139B9192" w:rsidR="00944013" w:rsidRDefault="001A0706" w:rsidP="00944013">
      <w:pPr>
        <w:rPr>
          <w:rFonts w:ascii="Arial" w:hAnsi="Arial" w:cs="Arial"/>
        </w:rPr>
      </w:pPr>
      <w:r w:rsidRPr="001A0706">
        <w:rPr>
          <w:rFonts w:ascii="Arial" w:hAnsi="Arial" w:cs="Arial"/>
        </w:rPr>
        <w:t>The duration of the contract shall be over 11 months (43 weeks) from January 23</w:t>
      </w:r>
      <w:r w:rsidRPr="001A0706">
        <w:rPr>
          <w:rFonts w:ascii="Arial" w:hAnsi="Arial" w:cs="Arial"/>
          <w:vertAlign w:val="superscript"/>
        </w:rPr>
        <w:t>rd</w:t>
      </w:r>
      <w:r w:rsidRPr="001A0706">
        <w:rPr>
          <w:rFonts w:ascii="Arial" w:hAnsi="Arial" w:cs="Arial"/>
        </w:rPr>
        <w:t xml:space="preserve"> – 22</w:t>
      </w:r>
      <w:r w:rsidRPr="001A0706">
        <w:rPr>
          <w:rFonts w:ascii="Arial" w:hAnsi="Arial" w:cs="Arial"/>
          <w:vertAlign w:val="superscript"/>
        </w:rPr>
        <w:t>nd</w:t>
      </w:r>
      <w:r w:rsidRPr="001A0706">
        <w:rPr>
          <w:rFonts w:ascii="Arial" w:hAnsi="Arial" w:cs="Arial"/>
        </w:rPr>
        <w:t xml:space="preserve"> December 2017. The consultant is expected to work on a full-time basis and may negotiate up to 1 month (4 weeks) of absence without pay.</w:t>
      </w:r>
    </w:p>
    <w:p w14:paraId="5A36DB6C" w14:textId="77777777" w:rsidR="00DF762E" w:rsidRPr="00DF762E" w:rsidRDefault="00DF762E" w:rsidP="00B41C68">
      <w:pPr>
        <w:pBdr>
          <w:bottom w:val="single" w:sz="4" w:space="1" w:color="auto"/>
        </w:pBdr>
        <w:rPr>
          <w:rFonts w:ascii="Arial" w:hAnsi="Arial" w:cs="Arial"/>
        </w:rPr>
      </w:pPr>
    </w:p>
    <w:p w14:paraId="155F0901" w14:textId="506F63E7" w:rsidR="00944013" w:rsidRPr="00DF762E" w:rsidRDefault="00E90E69" w:rsidP="00835B8E">
      <w:pPr>
        <w:rPr>
          <w:rFonts w:ascii="Arial" w:hAnsi="Arial" w:cs="Arial"/>
          <w:b/>
        </w:rPr>
      </w:pPr>
      <w:r w:rsidRPr="00DF762E">
        <w:rPr>
          <w:rFonts w:ascii="Arial" w:hAnsi="Arial" w:cs="Arial"/>
          <w:b/>
        </w:rPr>
        <w:t>Payment Schedule</w:t>
      </w:r>
    </w:p>
    <w:p w14:paraId="058CB453" w14:textId="522C3C6B" w:rsidR="00DF762E" w:rsidRPr="00DF762E" w:rsidRDefault="001A0706" w:rsidP="001A0706">
      <w:pPr>
        <w:rPr>
          <w:rFonts w:ascii="Arial" w:hAnsi="Arial" w:cs="Arial"/>
          <w:b/>
        </w:rPr>
      </w:pPr>
      <w:r w:rsidRPr="001A0706">
        <w:rPr>
          <w:rFonts w:ascii="Arial" w:hAnsi="Arial" w:cs="Arial"/>
        </w:rPr>
        <w:t xml:space="preserve">Payments will be done in accordance with submission of deliverables, certified by the supervisor. </w:t>
      </w:r>
    </w:p>
    <w:p w14:paraId="52D92917" w14:textId="77777777" w:rsidR="00CA1959" w:rsidRPr="00DF762E" w:rsidRDefault="00CA1959" w:rsidP="00B41C68">
      <w:pPr>
        <w:pBdr>
          <w:bottom w:val="single" w:sz="4" w:space="1" w:color="auto"/>
        </w:pBdr>
        <w:rPr>
          <w:rFonts w:ascii="Arial" w:hAnsi="Arial" w:cs="Arial"/>
          <w:b/>
        </w:rPr>
      </w:pPr>
    </w:p>
    <w:p w14:paraId="34B045F3" w14:textId="77777777" w:rsidR="009F2DEC" w:rsidRPr="00DF762E" w:rsidRDefault="009F2DEC" w:rsidP="009F2DEC">
      <w:pPr>
        <w:rPr>
          <w:rFonts w:ascii="Arial" w:hAnsi="Arial" w:cs="Arial"/>
          <w:b/>
        </w:rPr>
      </w:pPr>
      <w:r w:rsidRPr="00DF762E">
        <w:rPr>
          <w:rFonts w:ascii="Arial" w:hAnsi="Arial" w:cs="Arial"/>
          <w:b/>
        </w:rPr>
        <w:t>Deliverables/End Products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1"/>
        <w:gridCol w:w="1151"/>
        <w:gridCol w:w="1151"/>
      </w:tblGrid>
      <w:tr w:rsidR="007A49A2" w:rsidRPr="001A0706" w14:paraId="1DBBD1CD" w14:textId="37724E68" w:rsidTr="007A49A2">
        <w:tc>
          <w:tcPr>
            <w:tcW w:w="3876" w:type="pct"/>
            <w:shd w:val="clear" w:color="auto" w:fill="D0CECE"/>
          </w:tcPr>
          <w:p w14:paraId="43ECF8B0" w14:textId="77777777" w:rsidR="007A49A2" w:rsidRPr="001A0706" w:rsidRDefault="007A49A2" w:rsidP="001A0706">
            <w:pPr>
              <w:jc w:val="both"/>
              <w:rPr>
                <w:rFonts w:ascii="Arial" w:hAnsi="Arial" w:cs="Arial"/>
                <w:b/>
              </w:rPr>
            </w:pPr>
            <w:r w:rsidRPr="001A0706">
              <w:rPr>
                <w:rFonts w:ascii="Arial" w:hAnsi="Arial" w:cs="Arial"/>
                <w:b/>
              </w:rPr>
              <w:t>Deliverable</w:t>
            </w:r>
          </w:p>
        </w:tc>
        <w:tc>
          <w:tcPr>
            <w:tcW w:w="562" w:type="pct"/>
            <w:shd w:val="clear" w:color="auto" w:fill="D0CECE"/>
          </w:tcPr>
          <w:p w14:paraId="750D63D5" w14:textId="77777777" w:rsidR="007A49A2" w:rsidRPr="001A0706" w:rsidRDefault="007A49A2" w:rsidP="001A0706">
            <w:pPr>
              <w:jc w:val="both"/>
              <w:rPr>
                <w:rFonts w:ascii="Arial" w:hAnsi="Arial" w:cs="Arial"/>
                <w:b/>
              </w:rPr>
            </w:pPr>
            <w:r w:rsidRPr="001A0706">
              <w:rPr>
                <w:rFonts w:ascii="Arial" w:hAnsi="Arial" w:cs="Arial"/>
                <w:b/>
              </w:rPr>
              <w:t xml:space="preserve">Expected duration </w:t>
            </w:r>
          </w:p>
        </w:tc>
        <w:tc>
          <w:tcPr>
            <w:tcW w:w="562" w:type="pct"/>
            <w:shd w:val="clear" w:color="auto" w:fill="D0CECE"/>
          </w:tcPr>
          <w:p w14:paraId="3736CA31" w14:textId="615E69B0" w:rsidR="007A49A2" w:rsidRPr="001A0706" w:rsidRDefault="007A49A2" w:rsidP="001A0706">
            <w:pPr>
              <w:jc w:val="both"/>
              <w:rPr>
                <w:rFonts w:ascii="Arial" w:hAnsi="Arial" w:cs="Arial"/>
                <w:b/>
              </w:rPr>
            </w:pPr>
            <w:r>
              <w:rPr>
                <w:rFonts w:ascii="Arial" w:hAnsi="Arial" w:cs="Arial"/>
                <w:b/>
              </w:rPr>
              <w:t>Payment</w:t>
            </w:r>
          </w:p>
        </w:tc>
      </w:tr>
      <w:tr w:rsidR="007A49A2" w:rsidRPr="001A0706" w14:paraId="5D32AD39" w14:textId="4BF78E8B" w:rsidTr="007A49A2">
        <w:tc>
          <w:tcPr>
            <w:tcW w:w="4438" w:type="pct"/>
            <w:gridSpan w:val="2"/>
            <w:tcBorders>
              <w:bottom w:val="single" w:sz="4" w:space="0" w:color="auto"/>
            </w:tcBorders>
            <w:shd w:val="clear" w:color="auto" w:fill="auto"/>
          </w:tcPr>
          <w:p w14:paraId="496C5CD8" w14:textId="77777777" w:rsidR="007A49A2" w:rsidRPr="001A0706" w:rsidRDefault="007A49A2" w:rsidP="001A0706">
            <w:pPr>
              <w:jc w:val="both"/>
              <w:rPr>
                <w:rFonts w:ascii="Arial" w:hAnsi="Arial" w:cs="Arial"/>
                <w:b/>
                <w:lang w:val="en-NZ"/>
              </w:rPr>
            </w:pPr>
            <w:r w:rsidRPr="001A0706">
              <w:rPr>
                <w:rFonts w:ascii="Arial" w:hAnsi="Arial" w:cs="Arial"/>
                <w:b/>
                <w:lang w:val="en-NZ"/>
              </w:rPr>
              <w:t>WASH in Schools</w:t>
            </w:r>
          </w:p>
        </w:tc>
        <w:tc>
          <w:tcPr>
            <w:tcW w:w="562" w:type="pct"/>
            <w:tcBorders>
              <w:bottom w:val="single" w:sz="4" w:space="0" w:color="auto"/>
            </w:tcBorders>
          </w:tcPr>
          <w:p w14:paraId="7324550B" w14:textId="7E097B78" w:rsidR="007A49A2" w:rsidRPr="001A0706" w:rsidRDefault="007A49A2" w:rsidP="001A0706">
            <w:pPr>
              <w:jc w:val="both"/>
              <w:rPr>
                <w:rFonts w:ascii="Arial" w:hAnsi="Arial" w:cs="Arial"/>
                <w:b/>
                <w:lang w:val="en-NZ"/>
              </w:rPr>
            </w:pPr>
            <w:r>
              <w:rPr>
                <w:rFonts w:ascii="Arial" w:hAnsi="Arial" w:cs="Arial"/>
                <w:b/>
                <w:lang w:val="en-NZ"/>
              </w:rPr>
              <w:t>40%</w:t>
            </w:r>
          </w:p>
        </w:tc>
      </w:tr>
      <w:tr w:rsidR="007A49A2" w:rsidRPr="001A0706" w14:paraId="621E7145" w14:textId="53DF6C13" w:rsidTr="007A49A2">
        <w:tc>
          <w:tcPr>
            <w:tcW w:w="3876" w:type="pct"/>
            <w:tcBorders>
              <w:top w:val="single" w:sz="4" w:space="0" w:color="auto"/>
              <w:left w:val="single" w:sz="4" w:space="0" w:color="auto"/>
              <w:bottom w:val="nil"/>
              <w:right w:val="nil"/>
            </w:tcBorders>
            <w:shd w:val="clear" w:color="auto" w:fill="auto"/>
          </w:tcPr>
          <w:p w14:paraId="7C2C4CFA" w14:textId="77777777" w:rsidR="007A49A2" w:rsidRPr="001A0706" w:rsidRDefault="007A49A2" w:rsidP="001A0706">
            <w:pPr>
              <w:numPr>
                <w:ilvl w:val="0"/>
                <w:numId w:val="27"/>
              </w:numPr>
              <w:contextualSpacing/>
              <w:jc w:val="both"/>
              <w:rPr>
                <w:rFonts w:ascii="Arial" w:hAnsi="Arial" w:cs="Arial"/>
                <w:lang w:val="en-NZ"/>
              </w:rPr>
            </w:pPr>
            <w:r w:rsidRPr="001A0706">
              <w:rPr>
                <w:rFonts w:ascii="Arial" w:hAnsi="Arial" w:cs="Arial"/>
              </w:rPr>
              <w:t>Baseline assessment report for ECCE in Penama</w:t>
            </w:r>
          </w:p>
        </w:tc>
        <w:tc>
          <w:tcPr>
            <w:tcW w:w="562" w:type="pct"/>
            <w:tcBorders>
              <w:top w:val="single" w:sz="4" w:space="0" w:color="auto"/>
              <w:left w:val="nil"/>
              <w:bottom w:val="nil"/>
              <w:right w:val="single" w:sz="4" w:space="0" w:color="auto"/>
            </w:tcBorders>
            <w:shd w:val="clear" w:color="auto" w:fill="auto"/>
          </w:tcPr>
          <w:p w14:paraId="4A921AE4" w14:textId="77777777" w:rsidR="007A49A2" w:rsidRPr="001A0706" w:rsidRDefault="007A49A2" w:rsidP="001A0706">
            <w:pPr>
              <w:rPr>
                <w:rFonts w:ascii="Arial" w:hAnsi="Arial" w:cs="Arial"/>
              </w:rPr>
            </w:pPr>
            <w:r w:rsidRPr="001A0706">
              <w:rPr>
                <w:rFonts w:ascii="Arial" w:hAnsi="Arial" w:cs="Arial"/>
              </w:rPr>
              <w:t>4 weeks</w:t>
            </w:r>
          </w:p>
        </w:tc>
        <w:tc>
          <w:tcPr>
            <w:tcW w:w="562" w:type="pct"/>
            <w:tcBorders>
              <w:top w:val="single" w:sz="4" w:space="0" w:color="auto"/>
              <w:left w:val="nil"/>
              <w:bottom w:val="nil"/>
              <w:right w:val="single" w:sz="4" w:space="0" w:color="auto"/>
            </w:tcBorders>
          </w:tcPr>
          <w:p w14:paraId="3D41F017" w14:textId="77777777" w:rsidR="007A49A2" w:rsidRPr="001A0706" w:rsidRDefault="007A49A2" w:rsidP="001A0706">
            <w:pPr>
              <w:rPr>
                <w:rFonts w:ascii="Arial" w:hAnsi="Arial" w:cs="Arial"/>
              </w:rPr>
            </w:pPr>
          </w:p>
        </w:tc>
      </w:tr>
      <w:tr w:rsidR="007A49A2" w:rsidRPr="001A0706" w14:paraId="72F59657" w14:textId="25A47E5F" w:rsidTr="007A49A2">
        <w:tc>
          <w:tcPr>
            <w:tcW w:w="3876" w:type="pct"/>
            <w:tcBorders>
              <w:top w:val="nil"/>
              <w:left w:val="single" w:sz="4" w:space="0" w:color="auto"/>
              <w:bottom w:val="nil"/>
              <w:right w:val="nil"/>
            </w:tcBorders>
            <w:shd w:val="clear" w:color="auto" w:fill="auto"/>
          </w:tcPr>
          <w:p w14:paraId="44EC591B" w14:textId="77777777" w:rsidR="007A49A2" w:rsidRPr="001A0706" w:rsidRDefault="007A49A2" w:rsidP="001A0706">
            <w:pPr>
              <w:numPr>
                <w:ilvl w:val="0"/>
                <w:numId w:val="27"/>
              </w:numPr>
              <w:contextualSpacing/>
              <w:jc w:val="both"/>
              <w:rPr>
                <w:rFonts w:ascii="Arial" w:hAnsi="Arial" w:cs="Arial"/>
                <w:lang w:val="en-NZ"/>
              </w:rPr>
            </w:pPr>
            <w:r w:rsidRPr="001A0706">
              <w:rPr>
                <w:rFonts w:ascii="Arial" w:hAnsi="Arial" w:cs="Arial"/>
              </w:rPr>
              <w:t>PCA/contract developed to implement WASH in ECCE in Penama</w:t>
            </w:r>
          </w:p>
        </w:tc>
        <w:tc>
          <w:tcPr>
            <w:tcW w:w="562" w:type="pct"/>
            <w:tcBorders>
              <w:top w:val="nil"/>
              <w:left w:val="nil"/>
              <w:bottom w:val="nil"/>
              <w:right w:val="single" w:sz="4" w:space="0" w:color="auto"/>
            </w:tcBorders>
            <w:shd w:val="clear" w:color="auto" w:fill="auto"/>
          </w:tcPr>
          <w:p w14:paraId="3A233002" w14:textId="77777777" w:rsidR="007A49A2" w:rsidRPr="001A0706" w:rsidRDefault="007A49A2" w:rsidP="001A0706">
            <w:pPr>
              <w:rPr>
                <w:rFonts w:ascii="Arial" w:hAnsi="Arial" w:cs="Arial"/>
              </w:rPr>
            </w:pPr>
            <w:r w:rsidRPr="001A0706">
              <w:rPr>
                <w:rFonts w:ascii="Arial" w:hAnsi="Arial" w:cs="Arial"/>
              </w:rPr>
              <w:t>8 weeks</w:t>
            </w:r>
          </w:p>
        </w:tc>
        <w:tc>
          <w:tcPr>
            <w:tcW w:w="562" w:type="pct"/>
            <w:tcBorders>
              <w:top w:val="nil"/>
              <w:left w:val="nil"/>
              <w:bottom w:val="nil"/>
              <w:right w:val="single" w:sz="4" w:space="0" w:color="auto"/>
            </w:tcBorders>
          </w:tcPr>
          <w:p w14:paraId="3290B816" w14:textId="77777777" w:rsidR="007A49A2" w:rsidRPr="001A0706" w:rsidRDefault="007A49A2" w:rsidP="001A0706">
            <w:pPr>
              <w:rPr>
                <w:rFonts w:ascii="Arial" w:hAnsi="Arial" w:cs="Arial"/>
              </w:rPr>
            </w:pPr>
          </w:p>
        </w:tc>
      </w:tr>
      <w:tr w:rsidR="007A49A2" w:rsidRPr="001A0706" w14:paraId="4E3B63B2" w14:textId="74F2F8F5" w:rsidTr="007A49A2">
        <w:tc>
          <w:tcPr>
            <w:tcW w:w="3876" w:type="pct"/>
            <w:tcBorders>
              <w:top w:val="nil"/>
              <w:left w:val="single" w:sz="4" w:space="0" w:color="auto"/>
              <w:bottom w:val="nil"/>
              <w:right w:val="nil"/>
            </w:tcBorders>
            <w:shd w:val="clear" w:color="auto" w:fill="auto"/>
          </w:tcPr>
          <w:p w14:paraId="52956ABC" w14:textId="77777777" w:rsidR="007A49A2" w:rsidRPr="001A0706" w:rsidRDefault="007A49A2" w:rsidP="001A0706">
            <w:pPr>
              <w:numPr>
                <w:ilvl w:val="0"/>
                <w:numId w:val="27"/>
              </w:numPr>
              <w:contextualSpacing/>
              <w:jc w:val="both"/>
              <w:rPr>
                <w:rFonts w:ascii="Arial" w:hAnsi="Arial" w:cs="Arial"/>
                <w:lang w:val="en-NZ"/>
              </w:rPr>
            </w:pPr>
            <w:r w:rsidRPr="001A0706">
              <w:rPr>
                <w:rFonts w:ascii="Arial" w:hAnsi="Arial" w:cs="Arial"/>
              </w:rPr>
              <w:t>2 x programmatic visit trip reports for WinS</w:t>
            </w:r>
          </w:p>
        </w:tc>
        <w:tc>
          <w:tcPr>
            <w:tcW w:w="562" w:type="pct"/>
            <w:tcBorders>
              <w:top w:val="nil"/>
              <w:left w:val="nil"/>
              <w:bottom w:val="nil"/>
              <w:right w:val="single" w:sz="4" w:space="0" w:color="auto"/>
            </w:tcBorders>
            <w:shd w:val="clear" w:color="auto" w:fill="auto"/>
          </w:tcPr>
          <w:p w14:paraId="492C9420" w14:textId="77777777" w:rsidR="007A49A2" w:rsidRPr="001A0706" w:rsidRDefault="007A49A2" w:rsidP="001A0706">
            <w:pPr>
              <w:rPr>
                <w:rFonts w:ascii="Arial" w:hAnsi="Arial" w:cs="Arial"/>
              </w:rPr>
            </w:pPr>
            <w:r w:rsidRPr="001A0706">
              <w:rPr>
                <w:rFonts w:ascii="Arial" w:hAnsi="Arial" w:cs="Arial"/>
              </w:rPr>
              <w:t>4 weeks</w:t>
            </w:r>
          </w:p>
        </w:tc>
        <w:tc>
          <w:tcPr>
            <w:tcW w:w="562" w:type="pct"/>
            <w:tcBorders>
              <w:top w:val="nil"/>
              <w:left w:val="nil"/>
              <w:bottom w:val="nil"/>
              <w:right w:val="single" w:sz="4" w:space="0" w:color="auto"/>
            </w:tcBorders>
          </w:tcPr>
          <w:p w14:paraId="2845CE75" w14:textId="77777777" w:rsidR="007A49A2" w:rsidRPr="001A0706" w:rsidRDefault="007A49A2" w:rsidP="001A0706">
            <w:pPr>
              <w:rPr>
                <w:rFonts w:ascii="Arial" w:hAnsi="Arial" w:cs="Arial"/>
              </w:rPr>
            </w:pPr>
          </w:p>
        </w:tc>
      </w:tr>
      <w:tr w:rsidR="007A49A2" w:rsidRPr="001A0706" w14:paraId="4ADC2350" w14:textId="190E374C" w:rsidTr="007A49A2">
        <w:tc>
          <w:tcPr>
            <w:tcW w:w="3876" w:type="pct"/>
            <w:tcBorders>
              <w:top w:val="nil"/>
              <w:left w:val="single" w:sz="4" w:space="0" w:color="auto"/>
              <w:bottom w:val="single" w:sz="4" w:space="0" w:color="auto"/>
              <w:right w:val="nil"/>
            </w:tcBorders>
            <w:shd w:val="clear" w:color="auto" w:fill="auto"/>
          </w:tcPr>
          <w:p w14:paraId="576C75DC" w14:textId="77777777" w:rsidR="007A49A2" w:rsidRPr="001A0706" w:rsidRDefault="007A49A2" w:rsidP="001A0706">
            <w:pPr>
              <w:numPr>
                <w:ilvl w:val="0"/>
                <w:numId w:val="27"/>
              </w:numPr>
              <w:contextualSpacing/>
              <w:jc w:val="both"/>
              <w:rPr>
                <w:rFonts w:ascii="Arial" w:hAnsi="Arial" w:cs="Arial"/>
                <w:lang w:val="en-NZ"/>
              </w:rPr>
            </w:pPr>
            <w:r w:rsidRPr="001A0706">
              <w:rPr>
                <w:rFonts w:ascii="Arial" w:hAnsi="Arial" w:cs="Arial"/>
              </w:rPr>
              <w:t>Emory WASH in Schools certificate for at least 3 WASH sector stakeholders.</w:t>
            </w:r>
          </w:p>
        </w:tc>
        <w:tc>
          <w:tcPr>
            <w:tcW w:w="562" w:type="pct"/>
            <w:tcBorders>
              <w:top w:val="nil"/>
              <w:left w:val="nil"/>
              <w:bottom w:val="single" w:sz="4" w:space="0" w:color="auto"/>
              <w:right w:val="single" w:sz="4" w:space="0" w:color="auto"/>
            </w:tcBorders>
            <w:shd w:val="clear" w:color="auto" w:fill="auto"/>
          </w:tcPr>
          <w:p w14:paraId="76F25CB9" w14:textId="77777777" w:rsidR="007A49A2" w:rsidRPr="001A0706" w:rsidRDefault="007A49A2" w:rsidP="001A0706">
            <w:pPr>
              <w:rPr>
                <w:rFonts w:ascii="Arial" w:hAnsi="Arial" w:cs="Arial"/>
              </w:rPr>
            </w:pPr>
            <w:r w:rsidRPr="001A0706">
              <w:rPr>
                <w:rFonts w:ascii="Arial" w:hAnsi="Arial" w:cs="Arial"/>
              </w:rPr>
              <w:t>3 weeks</w:t>
            </w:r>
          </w:p>
        </w:tc>
        <w:tc>
          <w:tcPr>
            <w:tcW w:w="562" w:type="pct"/>
            <w:tcBorders>
              <w:top w:val="nil"/>
              <w:left w:val="nil"/>
              <w:bottom w:val="single" w:sz="4" w:space="0" w:color="auto"/>
              <w:right w:val="single" w:sz="4" w:space="0" w:color="auto"/>
            </w:tcBorders>
          </w:tcPr>
          <w:p w14:paraId="516C1B73" w14:textId="77777777" w:rsidR="007A49A2" w:rsidRPr="001A0706" w:rsidRDefault="007A49A2" w:rsidP="001A0706">
            <w:pPr>
              <w:rPr>
                <w:rFonts w:ascii="Arial" w:hAnsi="Arial" w:cs="Arial"/>
              </w:rPr>
            </w:pPr>
          </w:p>
        </w:tc>
      </w:tr>
      <w:tr w:rsidR="007A49A2" w:rsidRPr="001A0706" w14:paraId="0AF2BC40" w14:textId="3B65F780" w:rsidTr="007A49A2">
        <w:tc>
          <w:tcPr>
            <w:tcW w:w="4438" w:type="pct"/>
            <w:gridSpan w:val="2"/>
            <w:tcBorders>
              <w:top w:val="single" w:sz="4" w:space="0" w:color="auto"/>
              <w:bottom w:val="single" w:sz="4" w:space="0" w:color="auto"/>
            </w:tcBorders>
            <w:shd w:val="clear" w:color="auto" w:fill="auto"/>
          </w:tcPr>
          <w:p w14:paraId="7A438282" w14:textId="77777777" w:rsidR="007A49A2" w:rsidRPr="001A0706" w:rsidRDefault="007A49A2" w:rsidP="001A0706">
            <w:pPr>
              <w:rPr>
                <w:rFonts w:ascii="Arial" w:hAnsi="Arial" w:cs="Arial"/>
                <w:b/>
              </w:rPr>
            </w:pPr>
            <w:r w:rsidRPr="001A0706">
              <w:rPr>
                <w:rFonts w:ascii="Arial" w:hAnsi="Arial" w:cs="Arial"/>
                <w:b/>
                <w:lang w:val="en-NZ"/>
              </w:rPr>
              <w:t>WASH sector coordination</w:t>
            </w:r>
          </w:p>
        </w:tc>
        <w:tc>
          <w:tcPr>
            <w:tcW w:w="562" w:type="pct"/>
            <w:tcBorders>
              <w:top w:val="single" w:sz="4" w:space="0" w:color="auto"/>
              <w:bottom w:val="single" w:sz="4" w:space="0" w:color="auto"/>
            </w:tcBorders>
          </w:tcPr>
          <w:p w14:paraId="51D4B27B" w14:textId="4CD2B86F" w:rsidR="007A49A2" w:rsidRPr="001A0706" w:rsidRDefault="007A49A2" w:rsidP="001A0706">
            <w:pPr>
              <w:rPr>
                <w:rFonts w:ascii="Arial" w:hAnsi="Arial" w:cs="Arial"/>
                <w:b/>
                <w:lang w:val="en-NZ"/>
              </w:rPr>
            </w:pPr>
            <w:r>
              <w:rPr>
                <w:rFonts w:ascii="Arial" w:hAnsi="Arial" w:cs="Arial"/>
                <w:b/>
                <w:lang w:val="en-NZ"/>
              </w:rPr>
              <w:t>25%</w:t>
            </w:r>
          </w:p>
        </w:tc>
      </w:tr>
      <w:tr w:rsidR="007A49A2" w:rsidRPr="001A0706" w14:paraId="65000CFB" w14:textId="67CFEF60" w:rsidTr="007A49A2">
        <w:tc>
          <w:tcPr>
            <w:tcW w:w="3876" w:type="pct"/>
            <w:tcBorders>
              <w:top w:val="single" w:sz="4" w:space="0" w:color="auto"/>
              <w:left w:val="single" w:sz="4" w:space="0" w:color="auto"/>
              <w:bottom w:val="nil"/>
              <w:right w:val="nil"/>
            </w:tcBorders>
            <w:shd w:val="clear" w:color="auto" w:fill="auto"/>
          </w:tcPr>
          <w:p w14:paraId="1D2CA304" w14:textId="77777777" w:rsidR="007A49A2" w:rsidRPr="001A0706" w:rsidRDefault="007A49A2" w:rsidP="001A0706">
            <w:pPr>
              <w:numPr>
                <w:ilvl w:val="0"/>
                <w:numId w:val="28"/>
              </w:numPr>
              <w:contextualSpacing/>
              <w:jc w:val="both"/>
              <w:rPr>
                <w:rFonts w:ascii="Arial" w:hAnsi="Arial" w:cs="Arial"/>
                <w:lang w:val="en-NZ"/>
              </w:rPr>
            </w:pPr>
            <w:r w:rsidRPr="001A0706">
              <w:rPr>
                <w:rFonts w:ascii="Arial" w:hAnsi="Arial" w:cs="Arial"/>
              </w:rPr>
              <w:t>2 x programmatic visit trip reports for DWSSP/PHAST</w:t>
            </w:r>
          </w:p>
        </w:tc>
        <w:tc>
          <w:tcPr>
            <w:tcW w:w="562" w:type="pct"/>
            <w:tcBorders>
              <w:top w:val="single" w:sz="4" w:space="0" w:color="auto"/>
              <w:left w:val="nil"/>
              <w:bottom w:val="nil"/>
              <w:right w:val="single" w:sz="4" w:space="0" w:color="auto"/>
            </w:tcBorders>
            <w:shd w:val="clear" w:color="auto" w:fill="auto"/>
          </w:tcPr>
          <w:p w14:paraId="54769A08" w14:textId="77777777" w:rsidR="007A49A2" w:rsidRPr="001A0706" w:rsidRDefault="007A49A2" w:rsidP="001A0706">
            <w:pPr>
              <w:rPr>
                <w:rFonts w:ascii="Arial" w:hAnsi="Arial" w:cs="Arial"/>
              </w:rPr>
            </w:pPr>
            <w:r w:rsidRPr="001A0706">
              <w:rPr>
                <w:rFonts w:ascii="Arial" w:hAnsi="Arial" w:cs="Arial"/>
              </w:rPr>
              <w:t>4 weeks</w:t>
            </w:r>
          </w:p>
        </w:tc>
        <w:tc>
          <w:tcPr>
            <w:tcW w:w="562" w:type="pct"/>
            <w:tcBorders>
              <w:top w:val="single" w:sz="4" w:space="0" w:color="auto"/>
              <w:left w:val="nil"/>
              <w:bottom w:val="nil"/>
              <w:right w:val="single" w:sz="4" w:space="0" w:color="auto"/>
            </w:tcBorders>
          </w:tcPr>
          <w:p w14:paraId="2F1F15C9" w14:textId="77777777" w:rsidR="007A49A2" w:rsidRPr="001A0706" w:rsidRDefault="007A49A2" w:rsidP="001A0706">
            <w:pPr>
              <w:rPr>
                <w:rFonts w:ascii="Arial" w:hAnsi="Arial" w:cs="Arial"/>
              </w:rPr>
            </w:pPr>
          </w:p>
        </w:tc>
      </w:tr>
      <w:tr w:rsidR="007A49A2" w:rsidRPr="001A0706" w14:paraId="2C42F3DC" w14:textId="569386AD" w:rsidTr="007A49A2">
        <w:tc>
          <w:tcPr>
            <w:tcW w:w="3876" w:type="pct"/>
            <w:tcBorders>
              <w:top w:val="nil"/>
              <w:left w:val="single" w:sz="4" w:space="0" w:color="auto"/>
              <w:bottom w:val="single" w:sz="4" w:space="0" w:color="auto"/>
              <w:right w:val="nil"/>
            </w:tcBorders>
            <w:shd w:val="clear" w:color="auto" w:fill="auto"/>
          </w:tcPr>
          <w:p w14:paraId="4DFEDE7C" w14:textId="77777777" w:rsidR="007A49A2" w:rsidRPr="001A0706" w:rsidRDefault="007A49A2" w:rsidP="001A0706">
            <w:pPr>
              <w:numPr>
                <w:ilvl w:val="0"/>
                <w:numId w:val="28"/>
              </w:numPr>
              <w:contextualSpacing/>
              <w:jc w:val="both"/>
              <w:rPr>
                <w:rFonts w:ascii="Arial" w:hAnsi="Arial" w:cs="Arial"/>
                <w:lang w:val="en-NZ"/>
              </w:rPr>
            </w:pPr>
            <w:r w:rsidRPr="001A0706">
              <w:rPr>
                <w:rFonts w:ascii="Arial" w:hAnsi="Arial" w:cs="Arial"/>
              </w:rPr>
              <w:t>Finalized plumbers training manual and roadmap to certification by Vanuatu National Training Council.</w:t>
            </w:r>
          </w:p>
        </w:tc>
        <w:tc>
          <w:tcPr>
            <w:tcW w:w="562" w:type="pct"/>
            <w:tcBorders>
              <w:top w:val="nil"/>
              <w:left w:val="nil"/>
              <w:bottom w:val="single" w:sz="4" w:space="0" w:color="auto"/>
              <w:right w:val="single" w:sz="4" w:space="0" w:color="auto"/>
            </w:tcBorders>
            <w:shd w:val="clear" w:color="auto" w:fill="auto"/>
          </w:tcPr>
          <w:p w14:paraId="45AA2B11" w14:textId="77777777" w:rsidR="007A49A2" w:rsidRPr="001A0706" w:rsidRDefault="007A49A2" w:rsidP="001A0706">
            <w:pPr>
              <w:rPr>
                <w:rFonts w:ascii="Arial" w:hAnsi="Arial" w:cs="Arial"/>
              </w:rPr>
            </w:pPr>
            <w:r w:rsidRPr="001A0706">
              <w:rPr>
                <w:rFonts w:ascii="Arial" w:hAnsi="Arial" w:cs="Arial"/>
              </w:rPr>
              <w:t>3 weeks</w:t>
            </w:r>
          </w:p>
        </w:tc>
        <w:tc>
          <w:tcPr>
            <w:tcW w:w="562" w:type="pct"/>
            <w:tcBorders>
              <w:top w:val="nil"/>
              <w:left w:val="nil"/>
              <w:bottom w:val="single" w:sz="4" w:space="0" w:color="auto"/>
              <w:right w:val="single" w:sz="4" w:space="0" w:color="auto"/>
            </w:tcBorders>
          </w:tcPr>
          <w:p w14:paraId="74A27FB3" w14:textId="77777777" w:rsidR="007A49A2" w:rsidRPr="001A0706" w:rsidRDefault="007A49A2" w:rsidP="001A0706">
            <w:pPr>
              <w:rPr>
                <w:rFonts w:ascii="Arial" w:hAnsi="Arial" w:cs="Arial"/>
              </w:rPr>
            </w:pPr>
          </w:p>
        </w:tc>
      </w:tr>
      <w:tr w:rsidR="007A49A2" w:rsidRPr="001A0706" w14:paraId="6E6FB63E" w14:textId="1909E29A" w:rsidTr="007A49A2">
        <w:tc>
          <w:tcPr>
            <w:tcW w:w="3876" w:type="pct"/>
            <w:tcBorders>
              <w:top w:val="nil"/>
              <w:left w:val="single" w:sz="4" w:space="0" w:color="auto"/>
              <w:bottom w:val="single" w:sz="4" w:space="0" w:color="auto"/>
              <w:right w:val="nil"/>
            </w:tcBorders>
            <w:shd w:val="clear" w:color="auto" w:fill="auto"/>
          </w:tcPr>
          <w:p w14:paraId="1F91F9BE" w14:textId="77777777" w:rsidR="007A49A2" w:rsidRPr="001A0706" w:rsidRDefault="007A49A2" w:rsidP="001A0706">
            <w:pPr>
              <w:numPr>
                <w:ilvl w:val="0"/>
                <w:numId w:val="28"/>
              </w:numPr>
              <w:contextualSpacing/>
              <w:jc w:val="both"/>
              <w:rPr>
                <w:rFonts w:ascii="Arial" w:hAnsi="Arial" w:cs="Arial"/>
              </w:rPr>
            </w:pPr>
            <w:r w:rsidRPr="001A0706">
              <w:rPr>
                <w:rFonts w:ascii="Arial" w:hAnsi="Arial" w:cs="Arial"/>
              </w:rPr>
              <w:t>Capacity building training of DGMWR staff to improve monitoring and regulatory role.</w:t>
            </w:r>
          </w:p>
        </w:tc>
        <w:tc>
          <w:tcPr>
            <w:tcW w:w="562" w:type="pct"/>
            <w:tcBorders>
              <w:top w:val="nil"/>
              <w:left w:val="nil"/>
              <w:bottom w:val="single" w:sz="4" w:space="0" w:color="auto"/>
              <w:right w:val="single" w:sz="4" w:space="0" w:color="auto"/>
            </w:tcBorders>
            <w:shd w:val="clear" w:color="auto" w:fill="auto"/>
          </w:tcPr>
          <w:p w14:paraId="3E26B80E" w14:textId="77777777" w:rsidR="007A49A2" w:rsidRPr="001A0706" w:rsidRDefault="007A49A2" w:rsidP="001A0706">
            <w:pPr>
              <w:rPr>
                <w:rFonts w:ascii="Arial" w:hAnsi="Arial" w:cs="Arial"/>
              </w:rPr>
            </w:pPr>
            <w:r w:rsidRPr="001A0706">
              <w:rPr>
                <w:rFonts w:ascii="Arial" w:hAnsi="Arial" w:cs="Arial"/>
              </w:rPr>
              <w:t>3 weeks</w:t>
            </w:r>
          </w:p>
        </w:tc>
        <w:tc>
          <w:tcPr>
            <w:tcW w:w="562" w:type="pct"/>
            <w:tcBorders>
              <w:top w:val="nil"/>
              <w:left w:val="nil"/>
              <w:bottom w:val="single" w:sz="4" w:space="0" w:color="auto"/>
              <w:right w:val="single" w:sz="4" w:space="0" w:color="auto"/>
            </w:tcBorders>
          </w:tcPr>
          <w:p w14:paraId="2B46E911" w14:textId="77777777" w:rsidR="007A49A2" w:rsidRPr="001A0706" w:rsidRDefault="007A49A2" w:rsidP="001A0706">
            <w:pPr>
              <w:rPr>
                <w:rFonts w:ascii="Arial" w:hAnsi="Arial" w:cs="Arial"/>
              </w:rPr>
            </w:pPr>
          </w:p>
        </w:tc>
      </w:tr>
      <w:tr w:rsidR="007A49A2" w:rsidRPr="001A0706" w14:paraId="3854B049" w14:textId="5A67F0B7" w:rsidTr="007A49A2">
        <w:trPr>
          <w:trHeight w:val="233"/>
        </w:trPr>
        <w:tc>
          <w:tcPr>
            <w:tcW w:w="4438" w:type="pct"/>
            <w:gridSpan w:val="2"/>
            <w:tcBorders>
              <w:top w:val="single" w:sz="4" w:space="0" w:color="auto"/>
              <w:bottom w:val="single" w:sz="4" w:space="0" w:color="auto"/>
            </w:tcBorders>
            <w:shd w:val="clear" w:color="auto" w:fill="auto"/>
          </w:tcPr>
          <w:p w14:paraId="4EAF5B76" w14:textId="77777777" w:rsidR="007A49A2" w:rsidRPr="001A0706" w:rsidRDefault="007A49A2" w:rsidP="001A0706">
            <w:pPr>
              <w:jc w:val="both"/>
              <w:rPr>
                <w:rFonts w:ascii="Arial" w:hAnsi="Arial" w:cs="Arial"/>
                <w:b/>
                <w:lang w:val="en-NZ"/>
              </w:rPr>
            </w:pPr>
            <w:r w:rsidRPr="001A0706">
              <w:rPr>
                <w:rFonts w:ascii="Arial" w:hAnsi="Arial" w:cs="Arial"/>
                <w:b/>
                <w:lang w:val="en-NZ"/>
              </w:rPr>
              <w:t>WASH Data and Knowledge Management</w:t>
            </w:r>
          </w:p>
        </w:tc>
        <w:tc>
          <w:tcPr>
            <w:tcW w:w="562" w:type="pct"/>
            <w:tcBorders>
              <w:top w:val="single" w:sz="4" w:space="0" w:color="auto"/>
              <w:bottom w:val="single" w:sz="4" w:space="0" w:color="auto"/>
            </w:tcBorders>
          </w:tcPr>
          <w:p w14:paraId="608A7784" w14:textId="4AFA4E52" w:rsidR="007A49A2" w:rsidRPr="001A0706" w:rsidRDefault="007A49A2" w:rsidP="001A0706">
            <w:pPr>
              <w:jc w:val="both"/>
              <w:rPr>
                <w:rFonts w:ascii="Arial" w:hAnsi="Arial" w:cs="Arial"/>
                <w:b/>
                <w:lang w:val="en-NZ"/>
              </w:rPr>
            </w:pPr>
            <w:r>
              <w:rPr>
                <w:rFonts w:ascii="Arial" w:hAnsi="Arial" w:cs="Arial"/>
                <w:b/>
                <w:lang w:val="en-NZ"/>
              </w:rPr>
              <w:t>20%</w:t>
            </w:r>
          </w:p>
        </w:tc>
      </w:tr>
      <w:tr w:rsidR="007A49A2" w:rsidRPr="001A0706" w14:paraId="464F5CA5" w14:textId="3B17F764" w:rsidTr="007A49A2">
        <w:tc>
          <w:tcPr>
            <w:tcW w:w="3876" w:type="pct"/>
            <w:tcBorders>
              <w:top w:val="single" w:sz="4" w:space="0" w:color="auto"/>
              <w:left w:val="single" w:sz="4" w:space="0" w:color="auto"/>
              <w:bottom w:val="nil"/>
              <w:right w:val="nil"/>
            </w:tcBorders>
            <w:shd w:val="clear" w:color="auto" w:fill="auto"/>
          </w:tcPr>
          <w:p w14:paraId="23FBA202" w14:textId="77777777" w:rsidR="007A49A2" w:rsidRPr="001A0706" w:rsidRDefault="007A49A2" w:rsidP="001A0706">
            <w:pPr>
              <w:numPr>
                <w:ilvl w:val="0"/>
                <w:numId w:val="29"/>
              </w:numPr>
              <w:contextualSpacing/>
              <w:jc w:val="both"/>
              <w:rPr>
                <w:rFonts w:ascii="Arial" w:hAnsi="Arial" w:cs="Arial"/>
                <w:lang w:val="en-NZ"/>
              </w:rPr>
            </w:pPr>
            <w:r w:rsidRPr="001A0706">
              <w:rPr>
                <w:rFonts w:ascii="Arial" w:hAnsi="Arial" w:cs="Arial"/>
                <w:lang w:val="en-NZ"/>
              </w:rPr>
              <w:t>Final report (including electronic files) detailing support to WASH sector.</w:t>
            </w:r>
          </w:p>
        </w:tc>
        <w:tc>
          <w:tcPr>
            <w:tcW w:w="562" w:type="pct"/>
            <w:tcBorders>
              <w:top w:val="single" w:sz="4" w:space="0" w:color="auto"/>
              <w:left w:val="nil"/>
              <w:bottom w:val="nil"/>
              <w:right w:val="single" w:sz="4" w:space="0" w:color="auto"/>
            </w:tcBorders>
            <w:shd w:val="clear" w:color="auto" w:fill="auto"/>
          </w:tcPr>
          <w:p w14:paraId="0782F721" w14:textId="77777777" w:rsidR="007A49A2" w:rsidRPr="001A0706" w:rsidRDefault="007A49A2" w:rsidP="001A0706">
            <w:pPr>
              <w:rPr>
                <w:rFonts w:ascii="Arial" w:hAnsi="Arial" w:cs="Arial"/>
                <w:lang w:val="en-NZ"/>
              </w:rPr>
            </w:pPr>
            <w:r w:rsidRPr="001A0706">
              <w:rPr>
                <w:rFonts w:ascii="Arial" w:hAnsi="Arial" w:cs="Arial"/>
                <w:lang w:val="en-NZ"/>
              </w:rPr>
              <w:t>5 weeks</w:t>
            </w:r>
          </w:p>
        </w:tc>
        <w:tc>
          <w:tcPr>
            <w:tcW w:w="562" w:type="pct"/>
            <w:tcBorders>
              <w:top w:val="single" w:sz="4" w:space="0" w:color="auto"/>
              <w:left w:val="nil"/>
              <w:bottom w:val="nil"/>
              <w:right w:val="single" w:sz="4" w:space="0" w:color="auto"/>
            </w:tcBorders>
          </w:tcPr>
          <w:p w14:paraId="217A9B82" w14:textId="77777777" w:rsidR="007A49A2" w:rsidRPr="001A0706" w:rsidRDefault="007A49A2" w:rsidP="001A0706">
            <w:pPr>
              <w:rPr>
                <w:rFonts w:ascii="Arial" w:hAnsi="Arial" w:cs="Arial"/>
                <w:lang w:val="en-NZ"/>
              </w:rPr>
            </w:pPr>
          </w:p>
        </w:tc>
      </w:tr>
      <w:tr w:rsidR="007A49A2" w:rsidRPr="001A0706" w14:paraId="26F81BBC" w14:textId="77AC9E71" w:rsidTr="007A49A2">
        <w:tc>
          <w:tcPr>
            <w:tcW w:w="3876" w:type="pct"/>
            <w:tcBorders>
              <w:top w:val="nil"/>
              <w:left w:val="single" w:sz="4" w:space="0" w:color="auto"/>
              <w:bottom w:val="single" w:sz="4" w:space="0" w:color="auto"/>
              <w:right w:val="nil"/>
            </w:tcBorders>
            <w:shd w:val="clear" w:color="auto" w:fill="auto"/>
          </w:tcPr>
          <w:p w14:paraId="6DA1ED7F" w14:textId="77777777" w:rsidR="007A49A2" w:rsidRPr="001A0706" w:rsidRDefault="007A49A2" w:rsidP="001A0706">
            <w:pPr>
              <w:numPr>
                <w:ilvl w:val="0"/>
                <w:numId w:val="29"/>
              </w:numPr>
              <w:contextualSpacing/>
              <w:jc w:val="both"/>
              <w:rPr>
                <w:rFonts w:ascii="Arial" w:hAnsi="Arial" w:cs="Arial"/>
                <w:lang w:val="en-NZ"/>
              </w:rPr>
            </w:pPr>
            <w:r w:rsidRPr="001A0706">
              <w:rPr>
                <w:rFonts w:ascii="Arial" w:hAnsi="Arial" w:cs="Arial"/>
                <w:lang w:val="en-NZ"/>
              </w:rPr>
              <w:t xml:space="preserve">Final case study on agreed topic. </w:t>
            </w:r>
          </w:p>
        </w:tc>
        <w:tc>
          <w:tcPr>
            <w:tcW w:w="562" w:type="pct"/>
            <w:tcBorders>
              <w:top w:val="nil"/>
              <w:left w:val="nil"/>
              <w:bottom w:val="single" w:sz="4" w:space="0" w:color="auto"/>
              <w:right w:val="single" w:sz="4" w:space="0" w:color="auto"/>
            </w:tcBorders>
            <w:shd w:val="clear" w:color="auto" w:fill="auto"/>
          </w:tcPr>
          <w:p w14:paraId="78210CE1" w14:textId="77777777" w:rsidR="007A49A2" w:rsidRPr="001A0706" w:rsidRDefault="007A49A2" w:rsidP="001A0706">
            <w:pPr>
              <w:rPr>
                <w:rFonts w:ascii="Arial" w:hAnsi="Arial" w:cs="Arial"/>
                <w:lang w:val="en-NZ"/>
              </w:rPr>
            </w:pPr>
            <w:r w:rsidRPr="001A0706">
              <w:rPr>
                <w:rFonts w:ascii="Arial" w:hAnsi="Arial" w:cs="Arial"/>
                <w:lang w:val="en-NZ"/>
              </w:rPr>
              <w:t>6 weeks</w:t>
            </w:r>
          </w:p>
        </w:tc>
        <w:tc>
          <w:tcPr>
            <w:tcW w:w="562" w:type="pct"/>
            <w:tcBorders>
              <w:top w:val="nil"/>
              <w:left w:val="nil"/>
              <w:bottom w:val="single" w:sz="4" w:space="0" w:color="auto"/>
              <w:right w:val="single" w:sz="4" w:space="0" w:color="auto"/>
            </w:tcBorders>
          </w:tcPr>
          <w:p w14:paraId="34475B8C" w14:textId="77777777" w:rsidR="007A49A2" w:rsidRPr="001A0706" w:rsidRDefault="007A49A2" w:rsidP="001A0706">
            <w:pPr>
              <w:rPr>
                <w:rFonts w:ascii="Arial" w:hAnsi="Arial" w:cs="Arial"/>
                <w:lang w:val="en-NZ"/>
              </w:rPr>
            </w:pPr>
          </w:p>
        </w:tc>
      </w:tr>
      <w:tr w:rsidR="007A49A2" w:rsidRPr="001A0706" w14:paraId="77C20698" w14:textId="308FE57F" w:rsidTr="007A49A2">
        <w:trPr>
          <w:trHeight w:val="296"/>
        </w:trPr>
        <w:tc>
          <w:tcPr>
            <w:tcW w:w="4438" w:type="pct"/>
            <w:gridSpan w:val="2"/>
            <w:tcBorders>
              <w:top w:val="single" w:sz="4" w:space="0" w:color="auto"/>
              <w:left w:val="single" w:sz="4" w:space="0" w:color="auto"/>
              <w:bottom w:val="single" w:sz="4" w:space="0" w:color="auto"/>
              <w:right w:val="single" w:sz="4" w:space="0" w:color="auto"/>
            </w:tcBorders>
            <w:shd w:val="clear" w:color="auto" w:fill="auto"/>
          </w:tcPr>
          <w:p w14:paraId="174CC8DA" w14:textId="77777777" w:rsidR="007A49A2" w:rsidRPr="001A0706" w:rsidRDefault="007A49A2" w:rsidP="001A0706">
            <w:pPr>
              <w:rPr>
                <w:rFonts w:ascii="Arial" w:hAnsi="Arial" w:cs="Arial"/>
                <w:lang w:val="en-NZ"/>
              </w:rPr>
            </w:pPr>
            <w:r w:rsidRPr="001A0706">
              <w:rPr>
                <w:rFonts w:ascii="Arial" w:hAnsi="Arial" w:cs="Arial"/>
                <w:b/>
              </w:rPr>
              <w:t>Support Emergency preparedness and response</w:t>
            </w:r>
          </w:p>
        </w:tc>
        <w:tc>
          <w:tcPr>
            <w:tcW w:w="562" w:type="pct"/>
            <w:tcBorders>
              <w:top w:val="single" w:sz="4" w:space="0" w:color="auto"/>
              <w:left w:val="single" w:sz="4" w:space="0" w:color="auto"/>
              <w:bottom w:val="single" w:sz="4" w:space="0" w:color="auto"/>
              <w:right w:val="single" w:sz="4" w:space="0" w:color="auto"/>
            </w:tcBorders>
          </w:tcPr>
          <w:p w14:paraId="1B641899" w14:textId="7F9B6B03" w:rsidR="007A49A2" w:rsidRPr="001A0706" w:rsidRDefault="007A49A2" w:rsidP="001A0706">
            <w:pPr>
              <w:rPr>
                <w:rFonts w:ascii="Arial" w:hAnsi="Arial" w:cs="Arial"/>
                <w:b/>
              </w:rPr>
            </w:pPr>
            <w:r>
              <w:rPr>
                <w:rFonts w:ascii="Arial" w:hAnsi="Arial" w:cs="Arial"/>
                <w:b/>
              </w:rPr>
              <w:t>15%</w:t>
            </w:r>
          </w:p>
        </w:tc>
      </w:tr>
      <w:tr w:rsidR="007A49A2" w:rsidRPr="001A0706" w14:paraId="4EA84CA0" w14:textId="6A1068CA" w:rsidTr="007A49A2">
        <w:tc>
          <w:tcPr>
            <w:tcW w:w="3876" w:type="pct"/>
            <w:tcBorders>
              <w:top w:val="single" w:sz="4" w:space="0" w:color="auto"/>
              <w:left w:val="single" w:sz="4" w:space="0" w:color="auto"/>
              <w:bottom w:val="single" w:sz="4" w:space="0" w:color="auto"/>
              <w:right w:val="single" w:sz="4" w:space="0" w:color="auto"/>
            </w:tcBorders>
            <w:shd w:val="clear" w:color="auto" w:fill="auto"/>
          </w:tcPr>
          <w:p w14:paraId="6983E649" w14:textId="77777777" w:rsidR="007A49A2" w:rsidRPr="001A0706" w:rsidRDefault="007A49A2" w:rsidP="001A0706">
            <w:pPr>
              <w:numPr>
                <w:ilvl w:val="0"/>
                <w:numId w:val="29"/>
              </w:numPr>
              <w:contextualSpacing/>
              <w:jc w:val="both"/>
              <w:rPr>
                <w:rFonts w:ascii="Arial" w:hAnsi="Arial" w:cs="Arial"/>
                <w:lang w:val="en-NZ"/>
              </w:rPr>
            </w:pPr>
            <w:r w:rsidRPr="001A0706">
              <w:rPr>
                <w:rFonts w:ascii="Arial" w:hAnsi="Arial" w:cs="Arial"/>
                <w:lang w:val="en-NZ"/>
              </w:rPr>
              <w:lastRenderedPageBreak/>
              <w:t>Final report on support to emergency preparedness and response</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4265C1C" w14:textId="77777777" w:rsidR="007A49A2" w:rsidRPr="001A0706" w:rsidRDefault="007A49A2" w:rsidP="001A0706">
            <w:pPr>
              <w:rPr>
                <w:rFonts w:ascii="Arial" w:hAnsi="Arial" w:cs="Arial"/>
                <w:lang w:val="en-NZ"/>
              </w:rPr>
            </w:pPr>
            <w:r w:rsidRPr="001A0706">
              <w:rPr>
                <w:rFonts w:ascii="Arial" w:hAnsi="Arial" w:cs="Arial"/>
                <w:lang w:val="en-NZ"/>
              </w:rPr>
              <w:t>3 weeks</w:t>
            </w:r>
          </w:p>
        </w:tc>
        <w:tc>
          <w:tcPr>
            <w:tcW w:w="562" w:type="pct"/>
            <w:tcBorders>
              <w:top w:val="single" w:sz="4" w:space="0" w:color="auto"/>
              <w:left w:val="single" w:sz="4" w:space="0" w:color="auto"/>
              <w:bottom w:val="single" w:sz="4" w:space="0" w:color="auto"/>
              <w:right w:val="single" w:sz="4" w:space="0" w:color="auto"/>
            </w:tcBorders>
          </w:tcPr>
          <w:p w14:paraId="12910AF7" w14:textId="77777777" w:rsidR="007A49A2" w:rsidRPr="001A0706" w:rsidRDefault="007A49A2" w:rsidP="001A0706">
            <w:pPr>
              <w:rPr>
                <w:rFonts w:ascii="Arial" w:hAnsi="Arial" w:cs="Arial"/>
                <w:lang w:val="en-NZ"/>
              </w:rPr>
            </w:pPr>
          </w:p>
        </w:tc>
      </w:tr>
    </w:tbl>
    <w:p w14:paraId="1A383D0E" w14:textId="14B00F87" w:rsidR="008C78C7" w:rsidRDefault="008C78C7">
      <w:pPr>
        <w:rPr>
          <w:rFonts w:ascii="Arial" w:hAnsi="Arial" w:cs="Arial"/>
        </w:rPr>
      </w:pPr>
    </w:p>
    <w:p w14:paraId="0BC4C50B" w14:textId="77777777" w:rsidR="00944013" w:rsidRPr="00DF762E" w:rsidRDefault="00944013" w:rsidP="00944013">
      <w:pPr>
        <w:rPr>
          <w:rFonts w:ascii="Arial" w:hAnsi="Arial" w:cs="Arial"/>
          <w:b/>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2D8C37C8" w14:textId="77777777" w:rsidR="001A0706" w:rsidRPr="001A0706" w:rsidRDefault="001A0706" w:rsidP="001A0706">
      <w:pPr>
        <w:rPr>
          <w:rFonts w:ascii="Arial" w:hAnsi="Arial" w:cs="Arial"/>
        </w:rPr>
      </w:pPr>
      <w:r w:rsidRPr="001A0706">
        <w:rPr>
          <w:rFonts w:ascii="Arial" w:hAnsi="Arial" w:cs="Arial"/>
        </w:rPr>
        <w:t xml:space="preserve">The UNICEF WASH Officer in Vanuatu shall provide overall supervision. The UNICEF WASH Specialist based in Suva, Fiji, shall provide technical guidance. The Chief of Vanuatu Field Office will be responsible for providing oversight and support to the consultant when based at VFO. The consultant shall collaborate closely with the WASH Sector Coordinator and DGMWR as needed. </w:t>
      </w:r>
    </w:p>
    <w:p w14:paraId="0E3C2BBB" w14:textId="61880075" w:rsidR="00944013" w:rsidRPr="00DF762E" w:rsidRDefault="00944013" w:rsidP="00DF762E">
      <w:pPr>
        <w:rPr>
          <w:rFonts w:ascii="Arial" w:hAnsi="Arial" w:cs="Arial"/>
        </w:rPr>
      </w:pPr>
    </w:p>
    <w:p w14:paraId="30973A1F" w14:textId="77777777" w:rsidR="00944013" w:rsidRPr="00DF762E" w:rsidRDefault="00944013" w:rsidP="00B41C68">
      <w:pPr>
        <w:pBdr>
          <w:bottom w:val="single" w:sz="4" w:space="1" w:color="auto"/>
        </w:pBdr>
        <w:rPr>
          <w:rFonts w:ascii="Arial" w:hAnsi="Arial" w:cs="Arial"/>
          <w:b/>
        </w:rPr>
      </w:pPr>
    </w:p>
    <w:p w14:paraId="349D8B7B" w14:textId="25AD39B9" w:rsidR="00944013" w:rsidRPr="00DF762E"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39EEC6CD" w14:textId="077D53F3"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The consultant is required to make his/her own return travel arrangements from Place of recruitment-Duty Station-Place of recruitment on the most dire</w:t>
      </w:r>
      <w:r w:rsidR="001A0706">
        <w:rPr>
          <w:rFonts w:ascii="Arial" w:hAnsi="Arial" w:cs="Arial"/>
        </w:rPr>
        <w:t xml:space="preserve">ct route and economical class. </w:t>
      </w:r>
      <w:r w:rsidRPr="00DF762E">
        <w:rPr>
          <w:rFonts w:ascii="Arial" w:hAnsi="Arial" w:cs="Arial"/>
        </w:rPr>
        <w:t xml:space="preserve">Travel costs will be reimbursed to the consultant upon submission of invoice and travel documents.  </w:t>
      </w:r>
    </w:p>
    <w:p w14:paraId="75D790AE" w14:textId="335B4B95"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All related (internal/external) official travel of the consultancy will be organized by the consultant and costs reimbursed accordingly.</w:t>
      </w:r>
    </w:p>
    <w:p w14:paraId="2A78AB8E" w14:textId="77777777"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063F02A2" w14:textId="5A18A11A"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also required to organize his </w:t>
      </w:r>
      <w:r w:rsidR="00746609">
        <w:rPr>
          <w:rFonts w:ascii="Arial" w:hAnsi="Arial" w:cs="Arial"/>
        </w:rPr>
        <w:t xml:space="preserve">or her </w:t>
      </w:r>
      <w:r w:rsidRPr="00DF762E">
        <w:rPr>
          <w:rFonts w:ascii="Arial" w:hAnsi="Arial" w:cs="Arial"/>
        </w:rPr>
        <w:t>own visa to the duty station – UNICEF will provide a support letter to assist with visa approval.</w:t>
      </w:r>
    </w:p>
    <w:p w14:paraId="3E792932" w14:textId="77777777" w:rsidR="00944013" w:rsidRPr="00DF762E" w:rsidRDefault="00944013" w:rsidP="00DF762E">
      <w:pPr>
        <w:rPr>
          <w:rFonts w:ascii="Arial" w:hAnsi="Arial" w:cs="Arial"/>
        </w:rPr>
      </w:pPr>
    </w:p>
    <w:p w14:paraId="492E343C" w14:textId="77777777" w:rsidR="00944013" w:rsidRPr="00DF762E" w:rsidRDefault="00944013" w:rsidP="00B41C68">
      <w:pPr>
        <w:pBdr>
          <w:bottom w:val="single" w:sz="4" w:space="1" w:color="auto"/>
        </w:pBdr>
        <w:rPr>
          <w:rFonts w:ascii="Arial" w:hAnsi="Arial" w:cs="Arial"/>
        </w:rPr>
      </w:pPr>
    </w:p>
    <w:p w14:paraId="0C1BF110" w14:textId="77777777" w:rsidR="008E72E1" w:rsidRPr="00DF762E" w:rsidRDefault="008E72E1" w:rsidP="00DF762E">
      <w:pPr>
        <w:rPr>
          <w:rFonts w:ascii="Arial" w:hAnsi="Arial" w:cs="Arial"/>
          <w:b/>
        </w:rPr>
      </w:pPr>
      <w:r w:rsidRPr="00DF762E">
        <w:rPr>
          <w:rFonts w:ascii="Arial" w:hAnsi="Arial" w:cs="Arial"/>
          <w:b/>
        </w:rPr>
        <w:t>Consultant’s Work Place:</w:t>
      </w:r>
    </w:p>
    <w:p w14:paraId="239DE90E" w14:textId="77777777" w:rsidR="001A0706" w:rsidRPr="001A0706" w:rsidRDefault="001A0706" w:rsidP="001A0706">
      <w:pPr>
        <w:rPr>
          <w:rFonts w:ascii="Arial" w:hAnsi="Arial" w:cs="Arial"/>
          <w:bCs/>
          <w:lang w:val="en-GB"/>
        </w:rPr>
      </w:pPr>
      <w:r w:rsidRPr="001A0706">
        <w:rPr>
          <w:rFonts w:ascii="Arial" w:hAnsi="Arial" w:cs="Arial"/>
          <w:bCs/>
        </w:rPr>
        <w:t xml:space="preserve">The consultant is expected to work on a full-time basis </w:t>
      </w:r>
      <w:r w:rsidRPr="001A0706">
        <w:rPr>
          <w:rFonts w:ascii="Arial" w:hAnsi="Arial" w:cs="Arial"/>
          <w:lang w:val="en-GB"/>
        </w:rPr>
        <w:t xml:space="preserve">at UNICEF. The consultant will be provided with a desk at UNICEF, as well as internet access during working hours. A desktop monitor and a phone will be provided at his or her desk. </w:t>
      </w:r>
    </w:p>
    <w:p w14:paraId="6E7446DC" w14:textId="77777777" w:rsidR="00D46C07" w:rsidRPr="00DF762E" w:rsidRDefault="00D46C07" w:rsidP="00B41C68">
      <w:pPr>
        <w:pBdr>
          <w:bottom w:val="single" w:sz="4" w:space="1" w:color="auto"/>
        </w:pBdr>
        <w:rPr>
          <w:rFonts w:ascii="Arial" w:hAnsi="Arial" w:cs="Arial"/>
          <w:b/>
        </w:rPr>
      </w:pPr>
    </w:p>
    <w:p w14:paraId="32E896E1" w14:textId="15A52CCC"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4183BF6A" w14:textId="77777777" w:rsidR="00B41C68" w:rsidRPr="00DF762E" w:rsidRDefault="00B41C68" w:rsidP="00835B8E">
      <w:pPr>
        <w:rPr>
          <w:rFonts w:ascii="Arial" w:hAnsi="Arial" w:cs="Arial"/>
          <w:b/>
        </w:rPr>
      </w:pPr>
    </w:p>
    <w:p w14:paraId="1FF0FB46" w14:textId="7719A9CA" w:rsidR="00944013" w:rsidRPr="00B41C68" w:rsidRDefault="00B41C68" w:rsidP="00944013">
      <w:pPr>
        <w:rPr>
          <w:rFonts w:ascii="Arial" w:hAnsi="Arial" w:cs="Arial"/>
          <w:u w:val="single"/>
        </w:rPr>
      </w:pPr>
      <w:r w:rsidRPr="00B41C68">
        <w:rPr>
          <w:rFonts w:ascii="Arial" w:hAnsi="Arial" w:cs="Arial"/>
          <w:u w:val="single"/>
        </w:rPr>
        <w:t>Qualifications</w:t>
      </w:r>
    </w:p>
    <w:p w14:paraId="1D61F103" w14:textId="77777777" w:rsidR="001A0706" w:rsidRPr="001A0706" w:rsidRDefault="001A0706" w:rsidP="001A0706">
      <w:pPr>
        <w:numPr>
          <w:ilvl w:val="0"/>
          <w:numId w:val="30"/>
        </w:numPr>
        <w:contextualSpacing/>
        <w:rPr>
          <w:rFonts w:ascii="Arial" w:hAnsi="Arial" w:cs="Arial"/>
        </w:rPr>
      </w:pPr>
      <w:r w:rsidRPr="001A0706">
        <w:rPr>
          <w:rFonts w:ascii="Arial" w:hAnsi="Arial" w:cs="Arial"/>
        </w:rPr>
        <w:t xml:space="preserve">Degree in one of the disciplines relevant to the following areas: Civil Engineering, Mechanical Engineering, Geology, Hydrology, Sanitation Engineering, or a field relevant to WASH-related development assistance. </w:t>
      </w:r>
    </w:p>
    <w:p w14:paraId="5167C6E5" w14:textId="77777777" w:rsidR="001A0706" w:rsidRPr="001A0706" w:rsidRDefault="001A0706" w:rsidP="001A0706">
      <w:pPr>
        <w:numPr>
          <w:ilvl w:val="0"/>
          <w:numId w:val="30"/>
        </w:numPr>
        <w:contextualSpacing/>
        <w:rPr>
          <w:rFonts w:ascii="Arial" w:hAnsi="Arial" w:cs="Arial"/>
        </w:rPr>
      </w:pPr>
      <w:r w:rsidRPr="001A0706">
        <w:rPr>
          <w:rFonts w:ascii="Arial" w:hAnsi="Arial" w:cs="Arial"/>
        </w:rPr>
        <w:t>Additional training in Water, Sanitation and Hygiene and Emergencies is considered an asset.</w:t>
      </w:r>
    </w:p>
    <w:p w14:paraId="22ED9A50" w14:textId="77777777" w:rsidR="000A5684" w:rsidRDefault="000A5684" w:rsidP="00944013">
      <w:pPr>
        <w:rPr>
          <w:rFonts w:ascii="Arial" w:hAnsi="Arial" w:cs="Arial"/>
        </w:rPr>
      </w:pPr>
    </w:p>
    <w:p w14:paraId="71CA90D3" w14:textId="6A46E683" w:rsidR="00B41C68" w:rsidRPr="00B41C68" w:rsidRDefault="00B41C68" w:rsidP="00944013">
      <w:pPr>
        <w:rPr>
          <w:rFonts w:ascii="Arial" w:hAnsi="Arial" w:cs="Arial"/>
          <w:u w:val="single"/>
        </w:rPr>
      </w:pPr>
      <w:r w:rsidRPr="00B41C68">
        <w:rPr>
          <w:rFonts w:ascii="Arial" w:hAnsi="Arial" w:cs="Arial"/>
          <w:u w:val="single"/>
        </w:rPr>
        <w:t>Experience</w:t>
      </w:r>
    </w:p>
    <w:p w14:paraId="36D91C1B" w14:textId="77777777" w:rsidR="001A0706" w:rsidRPr="001A0706" w:rsidRDefault="001A0706" w:rsidP="001A0706">
      <w:pPr>
        <w:numPr>
          <w:ilvl w:val="0"/>
          <w:numId w:val="31"/>
        </w:numPr>
        <w:contextualSpacing/>
        <w:rPr>
          <w:rFonts w:ascii="Arial" w:hAnsi="Arial" w:cs="Arial"/>
        </w:rPr>
      </w:pPr>
      <w:r w:rsidRPr="001A0706">
        <w:rPr>
          <w:rFonts w:ascii="Arial" w:hAnsi="Arial" w:cs="Arial"/>
        </w:rPr>
        <w:t xml:space="preserve">Three to five years progressively responsible experience in project implementation, monitoring and supervision and evaluation or related field. </w:t>
      </w:r>
    </w:p>
    <w:p w14:paraId="42180941" w14:textId="77777777" w:rsidR="001A0706" w:rsidRPr="001A0706" w:rsidRDefault="001A0706" w:rsidP="001A0706">
      <w:pPr>
        <w:numPr>
          <w:ilvl w:val="0"/>
          <w:numId w:val="31"/>
        </w:numPr>
        <w:contextualSpacing/>
        <w:rPr>
          <w:rFonts w:ascii="Arial" w:hAnsi="Arial" w:cs="Arial"/>
        </w:rPr>
      </w:pPr>
      <w:r w:rsidRPr="001A0706">
        <w:rPr>
          <w:rFonts w:ascii="Arial" w:hAnsi="Arial" w:cs="Arial"/>
        </w:rPr>
        <w:t>Experience in community mobilization.</w:t>
      </w:r>
    </w:p>
    <w:p w14:paraId="2F27ED76" w14:textId="77777777" w:rsidR="001A0706" w:rsidRPr="001A0706" w:rsidRDefault="001A0706" w:rsidP="001A0706">
      <w:pPr>
        <w:numPr>
          <w:ilvl w:val="0"/>
          <w:numId w:val="31"/>
        </w:numPr>
        <w:contextualSpacing/>
        <w:rPr>
          <w:rFonts w:ascii="Arial" w:hAnsi="Arial" w:cs="Arial"/>
        </w:rPr>
      </w:pPr>
      <w:r w:rsidRPr="001A0706">
        <w:rPr>
          <w:rFonts w:ascii="Arial" w:hAnsi="Arial" w:cs="Arial"/>
        </w:rPr>
        <w:t>Experience working with UN, Government and NGO partners is desirable.</w:t>
      </w:r>
    </w:p>
    <w:p w14:paraId="29CDA275" w14:textId="77777777" w:rsidR="001A0706" w:rsidRPr="001A0706" w:rsidRDefault="001A0706" w:rsidP="001A0706">
      <w:pPr>
        <w:numPr>
          <w:ilvl w:val="0"/>
          <w:numId w:val="31"/>
        </w:numPr>
        <w:contextualSpacing/>
        <w:rPr>
          <w:rFonts w:ascii="Arial" w:hAnsi="Arial" w:cs="Arial"/>
        </w:rPr>
      </w:pPr>
      <w:r w:rsidRPr="001A0706">
        <w:rPr>
          <w:rFonts w:ascii="Arial" w:hAnsi="Arial" w:cs="Arial"/>
        </w:rPr>
        <w:t>Experience working in the water sector in the Vanuatu is an advantage.</w:t>
      </w:r>
    </w:p>
    <w:p w14:paraId="0322D4B5" w14:textId="77777777" w:rsidR="00B41C68" w:rsidRDefault="00B41C68" w:rsidP="00944013">
      <w:pPr>
        <w:rPr>
          <w:rFonts w:ascii="Arial" w:hAnsi="Arial" w:cs="Arial"/>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32B0EE2A" w14:textId="77777777" w:rsidR="001A0706" w:rsidRPr="001A0706" w:rsidRDefault="001A0706" w:rsidP="001A0706">
      <w:pPr>
        <w:numPr>
          <w:ilvl w:val="0"/>
          <w:numId w:val="32"/>
        </w:numPr>
        <w:rPr>
          <w:rFonts w:ascii="Arial" w:hAnsi="Arial" w:cs="Arial"/>
        </w:rPr>
      </w:pPr>
      <w:r w:rsidRPr="001A0706">
        <w:rPr>
          <w:rFonts w:ascii="Arial" w:hAnsi="Arial" w:cs="Arial"/>
        </w:rPr>
        <w:t xml:space="preserve">Fluency in English required. </w:t>
      </w:r>
    </w:p>
    <w:p w14:paraId="48AD904F" w14:textId="77777777" w:rsidR="001A0706" w:rsidRPr="001A0706" w:rsidRDefault="001A0706" w:rsidP="001A0706">
      <w:pPr>
        <w:numPr>
          <w:ilvl w:val="0"/>
          <w:numId w:val="32"/>
        </w:numPr>
        <w:rPr>
          <w:rFonts w:ascii="Arial" w:hAnsi="Arial" w:cs="Arial"/>
        </w:rPr>
      </w:pPr>
      <w:r w:rsidRPr="001A0706">
        <w:rPr>
          <w:rFonts w:ascii="Arial" w:hAnsi="Arial" w:cs="Arial"/>
        </w:rPr>
        <w:t>Knowledge of Bislama / Tok Pisin / Solomon Islands Pijin is an advantage.</w:t>
      </w:r>
    </w:p>
    <w:p w14:paraId="307B91E6" w14:textId="77777777" w:rsidR="00B41C68" w:rsidRDefault="00B41C68"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2E7344A0" w14:textId="77777777" w:rsidR="001A0706" w:rsidRPr="001A0706" w:rsidRDefault="001A0706" w:rsidP="001A0706">
            <w:pPr>
              <w:numPr>
                <w:ilvl w:val="0"/>
                <w:numId w:val="33"/>
              </w:numPr>
              <w:rPr>
                <w:rFonts w:ascii="Arial" w:hAnsi="Arial" w:cs="Arial"/>
              </w:rPr>
            </w:pPr>
            <w:r w:rsidRPr="001A0706">
              <w:rPr>
                <w:rFonts w:ascii="Arial" w:hAnsi="Arial" w:cs="Arial"/>
              </w:rPr>
              <w:t>Knowledge of Water, Sanitation and Hygiene areas of UNICEF’s programme.</w:t>
            </w:r>
          </w:p>
          <w:p w14:paraId="171C6773" w14:textId="77777777" w:rsidR="001A0706" w:rsidRPr="001A0706" w:rsidRDefault="001A0706" w:rsidP="001A0706">
            <w:pPr>
              <w:numPr>
                <w:ilvl w:val="0"/>
                <w:numId w:val="33"/>
              </w:numPr>
              <w:rPr>
                <w:rFonts w:ascii="Arial" w:hAnsi="Arial" w:cs="Arial"/>
              </w:rPr>
            </w:pPr>
            <w:r w:rsidRPr="001A0706">
              <w:rPr>
                <w:rFonts w:ascii="Arial" w:hAnsi="Arial" w:cs="Arial"/>
              </w:rPr>
              <w:t>Technical Knowledge of the theories, principles and methods in the following areas: WASH in schools, water supply project management, monitoring and evaluation, integrated water resource management, water supply and sanitation technologies, and community based water supply and sanitation.</w:t>
            </w:r>
          </w:p>
          <w:p w14:paraId="404AC60F" w14:textId="77777777" w:rsidR="000C7B54" w:rsidRDefault="000C7B54" w:rsidP="00B41C68">
            <w:pPr>
              <w:pBdr>
                <w:bottom w:val="single" w:sz="4" w:space="1" w:color="auto"/>
              </w:pBdr>
              <w:autoSpaceDE w:val="0"/>
              <w:autoSpaceDN w:val="0"/>
              <w:adjustRightInd w:val="0"/>
              <w:spacing w:before="120"/>
              <w:rPr>
                <w:rFonts w:ascii="Arial" w:hAnsi="Arial" w:cs="Arial"/>
              </w:rPr>
            </w:pPr>
          </w:p>
          <w:p w14:paraId="559EBAB8" w14:textId="77777777" w:rsidR="00DF762E" w:rsidRDefault="00DF762E" w:rsidP="000C7B54">
            <w:pPr>
              <w:autoSpaceDE w:val="0"/>
              <w:autoSpaceDN w:val="0"/>
              <w:adjustRightInd w:val="0"/>
              <w:spacing w:before="120"/>
              <w:rPr>
                <w:rFonts w:ascii="Arial" w:hAnsi="Arial" w:cs="Arial"/>
              </w:rPr>
            </w:pPr>
          </w:p>
          <w:p w14:paraId="456E0EA4" w14:textId="77777777" w:rsidR="00DF762E" w:rsidRDefault="00DF762E" w:rsidP="000C7B54">
            <w:pPr>
              <w:autoSpaceDE w:val="0"/>
              <w:autoSpaceDN w:val="0"/>
              <w:adjustRightInd w:val="0"/>
              <w:spacing w:before="120"/>
              <w:rPr>
                <w:rFonts w:ascii="Arial" w:hAnsi="Arial" w:cs="Arial"/>
              </w:rPr>
            </w:pPr>
          </w:p>
          <w:p w14:paraId="469051C8" w14:textId="77777777" w:rsidR="000C7B54" w:rsidRPr="00DF762E" w:rsidRDefault="000C7B54" w:rsidP="000C7B54">
            <w:pPr>
              <w:rPr>
                <w:rFonts w:ascii="Arial" w:hAnsi="Arial" w:cs="Arial"/>
              </w:rPr>
            </w:pPr>
          </w:p>
          <w:p w14:paraId="7B5DA324" w14:textId="554EB2CE" w:rsidR="000C7B54" w:rsidRPr="00DF762E" w:rsidRDefault="000C7B54" w:rsidP="000C7B54">
            <w:pPr>
              <w:autoSpaceDE w:val="0"/>
              <w:autoSpaceDN w:val="0"/>
              <w:adjustRightInd w:val="0"/>
              <w:spacing w:before="120"/>
              <w:rPr>
                <w:rFonts w:ascii="Arial" w:hAnsi="Arial" w:cs="Arial"/>
              </w:rPr>
            </w:pPr>
          </w:p>
        </w:tc>
      </w:tr>
      <w:tr w:rsidR="000C7B54" w:rsidRPr="00DF762E" w14:paraId="031B0075" w14:textId="77777777" w:rsidTr="00B41C68">
        <w:trPr>
          <w:trHeight w:val="1069"/>
        </w:trPr>
        <w:tc>
          <w:tcPr>
            <w:tcW w:w="10131" w:type="dxa"/>
            <w:tcBorders>
              <w:top w:val="nil"/>
            </w:tcBorders>
            <w:shd w:val="clear" w:color="auto" w:fill="auto"/>
          </w:tcPr>
          <w:p w14:paraId="60283F8D" w14:textId="77777777" w:rsidR="000C7B54" w:rsidRPr="00DF762E" w:rsidRDefault="000C7B54" w:rsidP="000C7B54">
            <w:pPr>
              <w:autoSpaceDE w:val="0"/>
              <w:autoSpaceDN w:val="0"/>
              <w:adjustRightInd w:val="0"/>
              <w:spacing w:before="120"/>
              <w:rPr>
                <w:rFonts w:ascii="Arial" w:hAnsi="Arial" w:cs="Arial"/>
              </w:rPr>
            </w:pPr>
          </w:p>
        </w:tc>
      </w:tr>
      <w:tr w:rsidR="000C7B54" w:rsidRPr="00DF762E" w14:paraId="1433F5FD" w14:textId="77777777" w:rsidTr="00DF762E">
        <w:trPr>
          <w:trHeight w:val="1069"/>
        </w:trPr>
        <w:tc>
          <w:tcPr>
            <w:tcW w:w="10131" w:type="dxa"/>
            <w:shd w:val="clear" w:color="auto" w:fill="auto"/>
          </w:tcPr>
          <w:p w14:paraId="520E9341" w14:textId="77777777" w:rsidR="000C7B54" w:rsidRPr="00DF762E" w:rsidRDefault="000C7B54" w:rsidP="000C7B54">
            <w:pPr>
              <w:autoSpaceDE w:val="0"/>
              <w:autoSpaceDN w:val="0"/>
              <w:adjustRightInd w:val="0"/>
              <w:spacing w:before="120"/>
              <w:rPr>
                <w:rFonts w:ascii="Arial" w:hAnsi="Arial" w:cs="Arial"/>
              </w:rPr>
            </w:pPr>
          </w:p>
        </w:tc>
      </w:tr>
    </w:tbl>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lastRenderedPageBreak/>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DF762E" w:rsidRDefault="003F157F"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lastRenderedPageBreak/>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DF762E" w:rsidRDefault="003F157F" w:rsidP="003F157F">
      <w:pPr>
        <w:ind w:left="360"/>
        <w:jc w:val="both"/>
        <w:rPr>
          <w:rFonts w:ascii="Arial" w:hAnsi="Arial" w:cs="Arial"/>
        </w:rPr>
      </w:pPr>
    </w:p>
    <w:p w14:paraId="2D10D811" w14:textId="77777777" w:rsidR="003F157F" w:rsidRPr="00DF762E" w:rsidRDefault="003F157F" w:rsidP="003F157F">
      <w:pPr>
        <w:ind w:left="360"/>
        <w:rPr>
          <w:rFonts w:ascii="Arial" w:hAnsi="Arial" w:cs="Arial"/>
          <w:b/>
        </w:rPr>
      </w:pPr>
    </w:p>
    <w:p w14:paraId="7A3DD1A6" w14:textId="77777777" w:rsidR="003F157F" w:rsidRPr="00DF762E" w:rsidRDefault="003F157F" w:rsidP="003F157F">
      <w:pPr>
        <w:ind w:left="720"/>
        <w:rPr>
          <w:rFonts w:ascii="Arial" w:hAnsi="Arial" w:cs="Arial"/>
          <w:b/>
        </w:rPr>
      </w:pPr>
    </w:p>
    <w:p w14:paraId="30A0C677" w14:textId="1FED105A" w:rsidR="003F157F" w:rsidRPr="00DF762E" w:rsidRDefault="003F157F" w:rsidP="003F157F">
      <w:pPr>
        <w:ind w:left="720"/>
        <w:rPr>
          <w:rFonts w:ascii="Arial" w:hAnsi="Arial" w:cs="Arial"/>
        </w:rPr>
      </w:pP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rPr>
        <w:tab/>
      </w:r>
      <w:r w:rsidRPr="00DF762E">
        <w:rPr>
          <w:rFonts w:ascii="Arial" w:hAnsi="Arial" w:cs="Arial"/>
        </w:rPr>
        <w:tab/>
      </w:r>
      <w:r w:rsidR="005601B6">
        <w:rPr>
          <w:rFonts w:ascii="Arial" w:hAnsi="Arial" w:cs="Arial"/>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p>
    <w:p w14:paraId="22EA9222" w14:textId="4E5BFC35" w:rsidR="003F157F" w:rsidRPr="00DF762E" w:rsidRDefault="005601B6" w:rsidP="003F157F">
      <w:pPr>
        <w:ind w:left="720"/>
        <w:rPr>
          <w:rFonts w:ascii="Arial" w:hAnsi="Arial" w:cs="Arial"/>
        </w:rPr>
      </w:pPr>
      <w:r>
        <w:rPr>
          <w:rFonts w:ascii="Arial" w:hAnsi="Arial" w:cs="Arial"/>
        </w:rPr>
        <w:t xml:space="preserve">Prepared by Section Chief: </w:t>
      </w:r>
      <w:r>
        <w:rPr>
          <w:rFonts w:ascii="Arial" w:hAnsi="Arial" w:cs="Arial"/>
        </w:rPr>
        <w:tab/>
      </w:r>
      <w:r>
        <w:rPr>
          <w:rFonts w:ascii="Arial" w:hAnsi="Arial" w:cs="Arial"/>
        </w:rPr>
        <w:tab/>
      </w:r>
      <w:r>
        <w:rPr>
          <w:rFonts w:ascii="Arial" w:hAnsi="Arial" w:cs="Arial"/>
        </w:rPr>
        <w:tab/>
      </w:r>
      <w:r w:rsidR="003F157F" w:rsidRPr="00DF762E">
        <w:rPr>
          <w:rFonts w:ascii="Arial" w:hAnsi="Arial" w:cs="Arial"/>
        </w:rPr>
        <w:tab/>
        <w:t>Approved by Deputy Representative **</w:t>
      </w:r>
    </w:p>
    <w:p w14:paraId="1BF4E018" w14:textId="6DF5503B" w:rsidR="003F157F" w:rsidRPr="00DF762E" w:rsidRDefault="003F157F" w:rsidP="003F157F">
      <w:pPr>
        <w:ind w:left="720"/>
        <w:rPr>
          <w:rFonts w:ascii="Arial" w:hAnsi="Arial" w:cs="Arial"/>
        </w:rPr>
      </w:pPr>
      <w:r w:rsidRPr="00DF762E">
        <w:rPr>
          <w:rFonts w:ascii="Arial" w:hAnsi="Arial" w:cs="Arial"/>
        </w:rPr>
        <w:t>Name/Title:</w:t>
      </w:r>
      <w:r w:rsidR="005601B6">
        <w:rPr>
          <w:rFonts w:ascii="Arial" w:hAnsi="Arial" w:cs="Arial"/>
        </w:rPr>
        <w:t xml:space="preserve"> Marc Overmars/WASH Specialist</w:t>
      </w:r>
      <w:r w:rsidR="005601B6">
        <w:rPr>
          <w:rFonts w:ascii="Arial" w:hAnsi="Arial" w:cs="Arial"/>
        </w:rPr>
        <w:tab/>
      </w:r>
      <w:r w:rsidR="005601B6">
        <w:rPr>
          <w:rFonts w:ascii="Arial" w:hAnsi="Arial" w:cs="Arial"/>
        </w:rPr>
        <w:tab/>
      </w:r>
      <w:r w:rsidRPr="00DF762E">
        <w:rPr>
          <w:rFonts w:ascii="Arial" w:hAnsi="Arial" w:cs="Arial"/>
        </w:rPr>
        <w:t>Name:</w:t>
      </w:r>
    </w:p>
    <w:p w14:paraId="1C45C5F9" w14:textId="7D0FB954" w:rsidR="003F157F" w:rsidRPr="00DF762E" w:rsidRDefault="003F157F" w:rsidP="003F157F">
      <w:pPr>
        <w:ind w:left="720"/>
        <w:rPr>
          <w:rFonts w:ascii="Arial" w:hAnsi="Arial" w:cs="Arial"/>
        </w:rPr>
      </w:pPr>
      <w:r w:rsidRPr="00DF762E">
        <w:rPr>
          <w:rFonts w:ascii="Arial" w:hAnsi="Arial" w:cs="Arial"/>
        </w:rPr>
        <w:t>Date:</w:t>
      </w:r>
      <w:r w:rsidR="005601B6">
        <w:rPr>
          <w:rFonts w:ascii="Arial" w:hAnsi="Arial" w:cs="Arial"/>
        </w:rPr>
        <w:t xml:space="preserve"> 15 September 2016</w:t>
      </w:r>
      <w:r w:rsidR="005601B6">
        <w:rPr>
          <w:rFonts w:ascii="Arial" w:hAnsi="Arial" w:cs="Arial"/>
        </w:rPr>
        <w:tab/>
      </w:r>
      <w:r w:rsidR="005601B6">
        <w:rPr>
          <w:rFonts w:ascii="Arial" w:hAnsi="Arial" w:cs="Arial"/>
        </w:rPr>
        <w:tab/>
      </w:r>
      <w:r w:rsidR="005601B6">
        <w:rPr>
          <w:rFonts w:ascii="Arial" w:hAnsi="Arial" w:cs="Arial"/>
        </w:rPr>
        <w:tab/>
      </w:r>
      <w:r w:rsidR="005601B6">
        <w:rPr>
          <w:rFonts w:ascii="Arial" w:hAnsi="Arial" w:cs="Arial"/>
        </w:rPr>
        <w:tab/>
      </w:r>
      <w:r w:rsidRPr="00DF762E">
        <w:rPr>
          <w:rFonts w:ascii="Arial" w:hAnsi="Arial" w:cs="Arial"/>
        </w:rPr>
        <w:t>Date</w:t>
      </w:r>
    </w:p>
    <w:p w14:paraId="3BC89F59" w14:textId="77777777" w:rsidR="003F157F" w:rsidRPr="00DF762E" w:rsidRDefault="003F157F" w:rsidP="003F157F">
      <w:pPr>
        <w:ind w:left="720"/>
        <w:rPr>
          <w:rFonts w:ascii="Arial" w:hAnsi="Arial" w:cs="Arial"/>
        </w:rPr>
      </w:pPr>
    </w:p>
    <w:p w14:paraId="1A95F486" w14:textId="77777777" w:rsidR="003F157F" w:rsidRPr="00DF762E" w:rsidRDefault="003F157F" w:rsidP="003F157F">
      <w:pPr>
        <w:ind w:left="720"/>
        <w:rPr>
          <w:rFonts w:ascii="Arial" w:hAnsi="Arial" w:cs="Arial"/>
        </w:rPr>
      </w:pPr>
    </w:p>
    <w:p w14:paraId="05D26E55" w14:textId="77777777" w:rsidR="003F157F" w:rsidRPr="00DF762E" w:rsidRDefault="003F157F" w:rsidP="003F157F">
      <w:pPr>
        <w:ind w:left="720"/>
        <w:rPr>
          <w:rFonts w:ascii="Arial" w:hAnsi="Arial" w:cs="Arial"/>
        </w:rPr>
      </w:pPr>
      <w:r w:rsidRPr="00DF762E">
        <w:rPr>
          <w:rFonts w:ascii="Arial" w:hAnsi="Arial" w:cs="Arial"/>
        </w:rPr>
        <w:t>** All Programme TORs to be approved by Deputy Representative and Operations TOR to be approved by Operations Manager.</w:t>
      </w:r>
    </w:p>
    <w:p w14:paraId="74DF6873" w14:textId="77777777" w:rsidR="003F157F" w:rsidRPr="00DF762E" w:rsidRDefault="003F157F" w:rsidP="003F157F">
      <w:pPr>
        <w:rPr>
          <w:rFonts w:ascii="Arial" w:hAnsi="Arial" w:cs="Arial"/>
        </w:rPr>
      </w:pPr>
    </w:p>
    <w:p w14:paraId="39B6FF1C" w14:textId="77777777" w:rsidR="003F157F" w:rsidRPr="00DF762E" w:rsidRDefault="003F157F" w:rsidP="003F157F">
      <w:pPr>
        <w:rPr>
          <w:rFonts w:ascii="Arial" w:hAnsi="Arial" w:cs="Arial"/>
        </w:rPr>
      </w:pPr>
    </w:p>
    <w:p w14:paraId="3F880304" w14:textId="77777777" w:rsidR="003F157F" w:rsidRPr="00DF762E" w:rsidRDefault="003F157F" w:rsidP="00914D6A">
      <w:pPr>
        <w:jc w:val="both"/>
        <w:rPr>
          <w:rFonts w:ascii="Arial" w:hAnsi="Arial" w:cs="Arial"/>
          <w:b/>
        </w:rPr>
      </w:pPr>
    </w:p>
    <w:sectPr w:rsidR="003F157F" w:rsidRPr="00DF762E" w:rsidSect="003828D4">
      <w:footerReference w:type="default" r:id="rId8"/>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A7BC7" w14:textId="77777777" w:rsidR="00B27472" w:rsidRDefault="00B27472" w:rsidP="00ED306C">
      <w:r>
        <w:separator/>
      </w:r>
    </w:p>
  </w:endnote>
  <w:endnote w:type="continuationSeparator" w:id="0">
    <w:p w14:paraId="5E9EAB42" w14:textId="77777777" w:rsidR="00B27472" w:rsidRDefault="00B27472"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ED306C" w:rsidRDefault="00ED306C">
        <w:pPr>
          <w:pStyle w:val="Footer"/>
          <w:jc w:val="right"/>
        </w:pPr>
        <w:r>
          <w:fldChar w:fldCharType="begin"/>
        </w:r>
        <w:r>
          <w:instrText xml:space="preserve"> PAGE   \* MERGEFORMAT </w:instrText>
        </w:r>
        <w:r>
          <w:fldChar w:fldCharType="separate"/>
        </w:r>
        <w:r w:rsidR="008303DC">
          <w:rPr>
            <w:noProof/>
          </w:rPr>
          <w:t>1</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0B19" w14:textId="77777777" w:rsidR="00B27472" w:rsidRDefault="00B27472" w:rsidP="00ED306C">
      <w:r>
        <w:separator/>
      </w:r>
    </w:p>
  </w:footnote>
  <w:footnote w:type="continuationSeparator" w:id="0">
    <w:p w14:paraId="795EB9C7" w14:textId="77777777" w:rsidR="00B27472" w:rsidRDefault="00B27472" w:rsidP="00ED306C">
      <w:r>
        <w:continuationSeparator/>
      </w:r>
    </w:p>
  </w:footnote>
  <w:footnote w:id="1">
    <w:p w14:paraId="0D58AB8B" w14:textId="77777777" w:rsidR="001A0706" w:rsidRPr="00A13326" w:rsidRDefault="001A0706" w:rsidP="001A0706">
      <w:pPr>
        <w:pStyle w:val="FootnoteText"/>
        <w:rPr>
          <w:sz w:val="16"/>
          <w:szCs w:val="16"/>
        </w:rPr>
      </w:pPr>
      <w:r w:rsidRPr="00A13326">
        <w:rPr>
          <w:rStyle w:val="FootnoteReference"/>
          <w:sz w:val="16"/>
          <w:szCs w:val="16"/>
        </w:rPr>
        <w:footnoteRef/>
      </w:r>
      <w:r w:rsidRPr="00A13326">
        <w:rPr>
          <w:sz w:val="16"/>
          <w:szCs w:val="16"/>
        </w:rPr>
        <w:t xml:space="preserve"> </w:t>
      </w:r>
      <w:hyperlink r:id="rId1" w:history="1">
        <w:r w:rsidRPr="00A13326">
          <w:rPr>
            <w:rStyle w:val="Hyperlink"/>
            <w:sz w:val="16"/>
            <w:szCs w:val="16"/>
          </w:rPr>
          <w:t>https://moet.gov.vu/docs/policies/Sweet%20Drink%20Policy_2014.pdf</w:t>
        </w:r>
      </w:hyperlink>
      <w:r w:rsidRPr="00A13326">
        <w:rPr>
          <w:sz w:val="16"/>
          <w:szCs w:val="16"/>
        </w:rPr>
        <w:t xml:space="preserve"> </w:t>
      </w:r>
    </w:p>
  </w:footnote>
  <w:footnote w:id="2">
    <w:p w14:paraId="1DB9B343" w14:textId="77777777" w:rsidR="001A0706" w:rsidRPr="00A13326" w:rsidRDefault="001A0706" w:rsidP="001A0706">
      <w:pPr>
        <w:pStyle w:val="FootnoteText"/>
        <w:rPr>
          <w:sz w:val="16"/>
          <w:szCs w:val="16"/>
        </w:rPr>
      </w:pPr>
      <w:r w:rsidRPr="00A13326">
        <w:rPr>
          <w:rStyle w:val="FootnoteReference"/>
          <w:sz w:val="16"/>
          <w:szCs w:val="16"/>
        </w:rPr>
        <w:footnoteRef/>
      </w:r>
      <w:hyperlink r:id="rId2" w:history="1">
        <w:r w:rsidRPr="00A13326">
          <w:rPr>
            <w:rStyle w:val="Hyperlink"/>
            <w:sz w:val="16"/>
            <w:szCs w:val="16"/>
          </w:rPr>
          <w:t>http://education.gov.vu/docs/policies/Primary%20Minimum%20Quality%20Standards%20-%20Fact%20Sheet%20(English)_2014.pdf</w:t>
        </w:r>
      </w:hyperlink>
    </w:p>
  </w:footnote>
  <w:footnote w:id="3">
    <w:p w14:paraId="781EDAEB" w14:textId="77777777" w:rsidR="001A0706" w:rsidRPr="00A13326" w:rsidRDefault="001A0706" w:rsidP="001A0706">
      <w:pPr>
        <w:pStyle w:val="FootnoteText"/>
        <w:rPr>
          <w:sz w:val="16"/>
          <w:szCs w:val="16"/>
        </w:rPr>
      </w:pPr>
      <w:r w:rsidRPr="00A13326">
        <w:rPr>
          <w:rStyle w:val="FootnoteReference"/>
          <w:sz w:val="16"/>
          <w:szCs w:val="16"/>
        </w:rPr>
        <w:footnoteRef/>
      </w:r>
      <w:hyperlink r:id="rId3" w:history="1">
        <w:r w:rsidRPr="00A13326">
          <w:rPr>
            <w:rStyle w:val="Hyperlink"/>
            <w:sz w:val="16"/>
            <w:szCs w:val="16"/>
          </w:rPr>
          <w:t>http://education.gov.vu/docs/policies/Vanuatu%20Inclusive%20Education%20Policy_2011.pdf</w:t>
        </w:r>
      </w:hyperlink>
    </w:p>
  </w:footnote>
  <w:footnote w:id="4">
    <w:p w14:paraId="52C15172" w14:textId="77777777" w:rsidR="001A0706" w:rsidRPr="00A13326" w:rsidRDefault="001A0706" w:rsidP="001A0706">
      <w:pPr>
        <w:pStyle w:val="FootnoteText"/>
        <w:rPr>
          <w:sz w:val="16"/>
          <w:szCs w:val="16"/>
          <w:lang w:val="fr-FR"/>
        </w:rPr>
      </w:pPr>
      <w:r w:rsidRPr="00A13326">
        <w:rPr>
          <w:rStyle w:val="FootnoteReference"/>
          <w:sz w:val="16"/>
          <w:szCs w:val="16"/>
        </w:rPr>
        <w:footnoteRef/>
      </w:r>
      <w:r w:rsidRPr="00A13326">
        <w:rPr>
          <w:sz w:val="16"/>
          <w:szCs w:val="16"/>
          <w:lang w:val="fr-FR"/>
        </w:rPr>
        <w:t xml:space="preserve"> </w:t>
      </w:r>
      <w:hyperlink r:id="rId4" w:history="1">
        <w:r w:rsidRPr="00A13326">
          <w:rPr>
            <w:rStyle w:val="Hyperlink"/>
            <w:sz w:val="16"/>
            <w:szCs w:val="16"/>
            <w:lang w:val="fr-FR"/>
          </w:rPr>
          <w:t>http://planipolis.iiep.unesco.org/upload/Vanuatu/Vanuatu-Education_sector_strategy.pdf</w:t>
        </w:r>
      </w:hyperlink>
      <w:r w:rsidRPr="00A13326">
        <w:rPr>
          <w:sz w:val="16"/>
          <w:szCs w:val="16"/>
          <w:lang w:val="fr-FR"/>
        </w:rPr>
        <w:t xml:space="preserve"> , (page 17).</w:t>
      </w:r>
    </w:p>
  </w:footnote>
  <w:footnote w:id="5">
    <w:p w14:paraId="5D5E67CA" w14:textId="77777777" w:rsidR="001A0706" w:rsidRPr="00D231CF" w:rsidRDefault="001A0706" w:rsidP="001A0706">
      <w:pPr>
        <w:pStyle w:val="FootnoteText"/>
        <w:rPr>
          <w:sz w:val="16"/>
          <w:szCs w:val="16"/>
          <w:lang w:val="fr-FR"/>
        </w:rPr>
      </w:pPr>
      <w:r w:rsidRPr="00E6015F">
        <w:rPr>
          <w:rStyle w:val="FootnoteReference"/>
          <w:sz w:val="16"/>
          <w:szCs w:val="16"/>
        </w:rPr>
        <w:footnoteRef/>
      </w:r>
      <w:r w:rsidRPr="00D231CF">
        <w:rPr>
          <w:sz w:val="16"/>
          <w:szCs w:val="16"/>
          <w:lang w:val="fr-FR"/>
        </w:rPr>
        <w:t xml:space="preserve"> http://www.pacificdisaster.net/pdnadmin/data/original/VUT_2011_most_dangerous.pdf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20746"/>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AFA25A4"/>
    <w:multiLevelType w:val="hybridMultilevel"/>
    <w:tmpl w:val="DA048602"/>
    <w:lvl w:ilvl="0" w:tplc="609E1140">
      <w:start w:val="1"/>
      <w:numFmt w:val="bullet"/>
      <w:lvlText w:val="-"/>
      <w:lvlJc w:val="left"/>
      <w:pPr>
        <w:ind w:left="720" w:hanging="360"/>
      </w:pPr>
      <w:rPr>
        <w:rFonts w:ascii="Arial" w:eastAsia="Times New Roman" w:hAnsi="Arial" w:cs="Arial" w:hint="default"/>
        <w:b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60D17"/>
    <w:multiLevelType w:val="hybridMultilevel"/>
    <w:tmpl w:val="3446D472"/>
    <w:lvl w:ilvl="0" w:tplc="AE50D42A">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0B77B1"/>
    <w:multiLevelType w:val="hybridMultilevel"/>
    <w:tmpl w:val="16C8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4760B"/>
    <w:multiLevelType w:val="hybridMultilevel"/>
    <w:tmpl w:val="C66C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626321"/>
    <w:multiLevelType w:val="hybridMultilevel"/>
    <w:tmpl w:val="AC42D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15166"/>
    <w:multiLevelType w:val="hybridMultilevel"/>
    <w:tmpl w:val="F9ACF810"/>
    <w:lvl w:ilvl="0" w:tplc="9050C7B2">
      <w:start w:val="1"/>
      <w:numFmt w:val="bullet"/>
      <w:lvlText w:val="-"/>
      <w:lvlJc w:val="left"/>
      <w:pPr>
        <w:ind w:left="720" w:hanging="360"/>
      </w:pPr>
      <w:rPr>
        <w:rFonts w:ascii="Arial" w:eastAsia="Times New Roman" w:hAnsi="Arial" w:cs="Arial" w:hint="default"/>
      </w:rPr>
    </w:lvl>
    <w:lvl w:ilvl="1" w:tplc="9050C7B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A4E9F"/>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D2A1A"/>
    <w:multiLevelType w:val="multilevel"/>
    <w:tmpl w:val="088E687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770AC"/>
    <w:multiLevelType w:val="hybridMultilevel"/>
    <w:tmpl w:val="9852F84C"/>
    <w:lvl w:ilvl="0" w:tplc="9050C7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143BB4"/>
    <w:multiLevelType w:val="multilevel"/>
    <w:tmpl w:val="5316CC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0EA7"/>
    <w:multiLevelType w:val="hybridMultilevel"/>
    <w:tmpl w:val="41ACB51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4"/>
  </w:num>
  <w:num w:numId="4">
    <w:abstractNumId w:val="31"/>
  </w:num>
  <w:num w:numId="5">
    <w:abstractNumId w:val="7"/>
  </w:num>
  <w:num w:numId="6">
    <w:abstractNumId w:val="20"/>
  </w:num>
  <w:num w:numId="7">
    <w:abstractNumId w:val="32"/>
  </w:num>
  <w:num w:numId="8">
    <w:abstractNumId w:val="0"/>
  </w:num>
  <w:num w:numId="9">
    <w:abstractNumId w:val="28"/>
  </w:num>
  <w:num w:numId="10">
    <w:abstractNumId w:val="1"/>
  </w:num>
  <w:num w:numId="11">
    <w:abstractNumId w:val="29"/>
  </w:num>
  <w:num w:numId="12">
    <w:abstractNumId w:val="15"/>
  </w:num>
  <w:num w:numId="13">
    <w:abstractNumId w:val="14"/>
  </w:num>
  <w:num w:numId="14">
    <w:abstractNumId w:val="16"/>
  </w:num>
  <w:num w:numId="15">
    <w:abstractNumId w:val="12"/>
  </w:num>
  <w:num w:numId="16">
    <w:abstractNumId w:val="19"/>
  </w:num>
  <w:num w:numId="17">
    <w:abstractNumId w:val="18"/>
  </w:num>
  <w:num w:numId="18">
    <w:abstractNumId w:val="26"/>
  </w:num>
  <w:num w:numId="19">
    <w:abstractNumId w:val="2"/>
  </w:num>
  <w:num w:numId="20">
    <w:abstractNumId w:val="25"/>
  </w:num>
  <w:num w:numId="21">
    <w:abstractNumId w:val="22"/>
  </w:num>
  <w:num w:numId="22">
    <w:abstractNumId w:val="30"/>
  </w:num>
  <w:num w:numId="23">
    <w:abstractNumId w:val="17"/>
  </w:num>
  <w:num w:numId="24">
    <w:abstractNumId w:val="27"/>
  </w:num>
  <w:num w:numId="25">
    <w:abstractNumId w:val="11"/>
  </w:num>
  <w:num w:numId="26">
    <w:abstractNumId w:val="3"/>
  </w:num>
  <w:num w:numId="27">
    <w:abstractNumId w:val="8"/>
  </w:num>
  <w:num w:numId="28">
    <w:abstractNumId w:val="6"/>
  </w:num>
  <w:num w:numId="29">
    <w:abstractNumId w:val="9"/>
  </w:num>
  <w:num w:numId="30">
    <w:abstractNumId w:val="10"/>
  </w:num>
  <w:num w:numId="31">
    <w:abstractNumId w:val="23"/>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2101"/>
    <w:rsid w:val="0003578E"/>
    <w:rsid w:val="00044BCE"/>
    <w:rsid w:val="000547BF"/>
    <w:rsid w:val="000570A6"/>
    <w:rsid w:val="00057886"/>
    <w:rsid w:val="00062A20"/>
    <w:rsid w:val="0007737D"/>
    <w:rsid w:val="000907CA"/>
    <w:rsid w:val="00093D74"/>
    <w:rsid w:val="000A5684"/>
    <w:rsid w:val="000B6745"/>
    <w:rsid w:val="000C230C"/>
    <w:rsid w:val="000C563B"/>
    <w:rsid w:val="000C7B54"/>
    <w:rsid w:val="000F45BF"/>
    <w:rsid w:val="000F551D"/>
    <w:rsid w:val="000F5E16"/>
    <w:rsid w:val="000F6A27"/>
    <w:rsid w:val="0010007A"/>
    <w:rsid w:val="00101887"/>
    <w:rsid w:val="0011572E"/>
    <w:rsid w:val="00130754"/>
    <w:rsid w:val="00131539"/>
    <w:rsid w:val="00133939"/>
    <w:rsid w:val="0014412E"/>
    <w:rsid w:val="001559E6"/>
    <w:rsid w:val="00156A80"/>
    <w:rsid w:val="00160BF0"/>
    <w:rsid w:val="00163806"/>
    <w:rsid w:val="00166DBC"/>
    <w:rsid w:val="00172E6A"/>
    <w:rsid w:val="00177F06"/>
    <w:rsid w:val="00180C21"/>
    <w:rsid w:val="001A0706"/>
    <w:rsid w:val="001C7A4E"/>
    <w:rsid w:val="001D572A"/>
    <w:rsid w:val="001F5424"/>
    <w:rsid w:val="001F58DA"/>
    <w:rsid w:val="001F625A"/>
    <w:rsid w:val="001F70A8"/>
    <w:rsid w:val="00216B6E"/>
    <w:rsid w:val="002264D5"/>
    <w:rsid w:val="002265CA"/>
    <w:rsid w:val="00266D33"/>
    <w:rsid w:val="00270EF0"/>
    <w:rsid w:val="00274787"/>
    <w:rsid w:val="002A5F6F"/>
    <w:rsid w:val="002B14F9"/>
    <w:rsid w:val="002B1DFC"/>
    <w:rsid w:val="002C463C"/>
    <w:rsid w:val="002C5D9E"/>
    <w:rsid w:val="002D5068"/>
    <w:rsid w:val="002E0929"/>
    <w:rsid w:val="002E2CF3"/>
    <w:rsid w:val="002E7B2A"/>
    <w:rsid w:val="00312B18"/>
    <w:rsid w:val="00315309"/>
    <w:rsid w:val="003351F0"/>
    <w:rsid w:val="0035084E"/>
    <w:rsid w:val="003530B1"/>
    <w:rsid w:val="00356D7A"/>
    <w:rsid w:val="00367036"/>
    <w:rsid w:val="00371200"/>
    <w:rsid w:val="0037210B"/>
    <w:rsid w:val="003828D4"/>
    <w:rsid w:val="00382BE9"/>
    <w:rsid w:val="00386EAD"/>
    <w:rsid w:val="00391D60"/>
    <w:rsid w:val="003A7261"/>
    <w:rsid w:val="003F157F"/>
    <w:rsid w:val="003F2042"/>
    <w:rsid w:val="003F4766"/>
    <w:rsid w:val="0040021F"/>
    <w:rsid w:val="0040101E"/>
    <w:rsid w:val="00401643"/>
    <w:rsid w:val="004070C6"/>
    <w:rsid w:val="004101A9"/>
    <w:rsid w:val="00413CC1"/>
    <w:rsid w:val="0041640B"/>
    <w:rsid w:val="004251DC"/>
    <w:rsid w:val="0045103A"/>
    <w:rsid w:val="004531DA"/>
    <w:rsid w:val="00460F54"/>
    <w:rsid w:val="00494657"/>
    <w:rsid w:val="004A1E57"/>
    <w:rsid w:val="004B534E"/>
    <w:rsid w:val="004B6038"/>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601B6"/>
    <w:rsid w:val="0058438F"/>
    <w:rsid w:val="005B21EA"/>
    <w:rsid w:val="005B7B69"/>
    <w:rsid w:val="005C697F"/>
    <w:rsid w:val="005D0219"/>
    <w:rsid w:val="005D3DBE"/>
    <w:rsid w:val="005D40BF"/>
    <w:rsid w:val="005D5049"/>
    <w:rsid w:val="005E087D"/>
    <w:rsid w:val="005E597B"/>
    <w:rsid w:val="005E61EF"/>
    <w:rsid w:val="005F1412"/>
    <w:rsid w:val="00612464"/>
    <w:rsid w:val="00614053"/>
    <w:rsid w:val="00617E53"/>
    <w:rsid w:val="006264BE"/>
    <w:rsid w:val="00645CDD"/>
    <w:rsid w:val="0067648C"/>
    <w:rsid w:val="00691330"/>
    <w:rsid w:val="006A128E"/>
    <w:rsid w:val="006B1F24"/>
    <w:rsid w:val="006C099E"/>
    <w:rsid w:val="006E5049"/>
    <w:rsid w:val="006F067C"/>
    <w:rsid w:val="00700D61"/>
    <w:rsid w:val="007023B9"/>
    <w:rsid w:val="007106C3"/>
    <w:rsid w:val="007233CA"/>
    <w:rsid w:val="0073152A"/>
    <w:rsid w:val="007317E7"/>
    <w:rsid w:val="00742424"/>
    <w:rsid w:val="00746609"/>
    <w:rsid w:val="00747447"/>
    <w:rsid w:val="00753023"/>
    <w:rsid w:val="00760E7B"/>
    <w:rsid w:val="00762982"/>
    <w:rsid w:val="00774F84"/>
    <w:rsid w:val="00791100"/>
    <w:rsid w:val="007927F5"/>
    <w:rsid w:val="007972CE"/>
    <w:rsid w:val="007A49A2"/>
    <w:rsid w:val="007B6D43"/>
    <w:rsid w:val="007C1A0B"/>
    <w:rsid w:val="007C1E56"/>
    <w:rsid w:val="007C6F45"/>
    <w:rsid w:val="007E0082"/>
    <w:rsid w:val="007E1C2C"/>
    <w:rsid w:val="007E6A0E"/>
    <w:rsid w:val="007E7372"/>
    <w:rsid w:val="00800A30"/>
    <w:rsid w:val="00806209"/>
    <w:rsid w:val="008303DC"/>
    <w:rsid w:val="008311FF"/>
    <w:rsid w:val="008348BC"/>
    <w:rsid w:val="00835B8E"/>
    <w:rsid w:val="008373DD"/>
    <w:rsid w:val="008438B4"/>
    <w:rsid w:val="00856B3A"/>
    <w:rsid w:val="00864E89"/>
    <w:rsid w:val="008672CE"/>
    <w:rsid w:val="00887F35"/>
    <w:rsid w:val="008B4261"/>
    <w:rsid w:val="008C0D5D"/>
    <w:rsid w:val="008C5423"/>
    <w:rsid w:val="008C78C7"/>
    <w:rsid w:val="008D50D5"/>
    <w:rsid w:val="008E0E2D"/>
    <w:rsid w:val="008E1F12"/>
    <w:rsid w:val="008E2D9C"/>
    <w:rsid w:val="008E5D3B"/>
    <w:rsid w:val="008E72E1"/>
    <w:rsid w:val="008F6C1B"/>
    <w:rsid w:val="0090109E"/>
    <w:rsid w:val="00903F65"/>
    <w:rsid w:val="0091163C"/>
    <w:rsid w:val="0091254C"/>
    <w:rsid w:val="00914D6A"/>
    <w:rsid w:val="00915925"/>
    <w:rsid w:val="00923F4D"/>
    <w:rsid w:val="009246F4"/>
    <w:rsid w:val="00933903"/>
    <w:rsid w:val="00935703"/>
    <w:rsid w:val="00944013"/>
    <w:rsid w:val="00957B09"/>
    <w:rsid w:val="00961675"/>
    <w:rsid w:val="009638F8"/>
    <w:rsid w:val="0096722B"/>
    <w:rsid w:val="009E1ABD"/>
    <w:rsid w:val="009F2CE8"/>
    <w:rsid w:val="009F2DEC"/>
    <w:rsid w:val="009F40E7"/>
    <w:rsid w:val="009F6621"/>
    <w:rsid w:val="00A0538A"/>
    <w:rsid w:val="00A30D86"/>
    <w:rsid w:val="00A41BC0"/>
    <w:rsid w:val="00A43BCD"/>
    <w:rsid w:val="00A47AF8"/>
    <w:rsid w:val="00A53B7E"/>
    <w:rsid w:val="00A67C1D"/>
    <w:rsid w:val="00A70C13"/>
    <w:rsid w:val="00A72A68"/>
    <w:rsid w:val="00A96381"/>
    <w:rsid w:val="00AD734D"/>
    <w:rsid w:val="00AE3BC4"/>
    <w:rsid w:val="00AF1571"/>
    <w:rsid w:val="00AF45BA"/>
    <w:rsid w:val="00B27472"/>
    <w:rsid w:val="00B34967"/>
    <w:rsid w:val="00B41C68"/>
    <w:rsid w:val="00B55EF2"/>
    <w:rsid w:val="00B8379C"/>
    <w:rsid w:val="00B86AC9"/>
    <w:rsid w:val="00B86E2D"/>
    <w:rsid w:val="00B91DF3"/>
    <w:rsid w:val="00B9252C"/>
    <w:rsid w:val="00BA4503"/>
    <w:rsid w:val="00BD6119"/>
    <w:rsid w:val="00BE5953"/>
    <w:rsid w:val="00BF0881"/>
    <w:rsid w:val="00BF3C90"/>
    <w:rsid w:val="00BF5021"/>
    <w:rsid w:val="00C01515"/>
    <w:rsid w:val="00C2518D"/>
    <w:rsid w:val="00C42594"/>
    <w:rsid w:val="00C466B0"/>
    <w:rsid w:val="00C5082B"/>
    <w:rsid w:val="00C53057"/>
    <w:rsid w:val="00C56CD6"/>
    <w:rsid w:val="00C83CC1"/>
    <w:rsid w:val="00CA1959"/>
    <w:rsid w:val="00CA6B11"/>
    <w:rsid w:val="00CB7CB1"/>
    <w:rsid w:val="00CB7F72"/>
    <w:rsid w:val="00CC4398"/>
    <w:rsid w:val="00CD1722"/>
    <w:rsid w:val="00CE5498"/>
    <w:rsid w:val="00CF29BE"/>
    <w:rsid w:val="00CF3E8D"/>
    <w:rsid w:val="00CF5DBF"/>
    <w:rsid w:val="00D0593A"/>
    <w:rsid w:val="00D21216"/>
    <w:rsid w:val="00D21CB2"/>
    <w:rsid w:val="00D330F9"/>
    <w:rsid w:val="00D36CD1"/>
    <w:rsid w:val="00D46C07"/>
    <w:rsid w:val="00D60D94"/>
    <w:rsid w:val="00D7548A"/>
    <w:rsid w:val="00DA0D23"/>
    <w:rsid w:val="00DB06E6"/>
    <w:rsid w:val="00DB1FE3"/>
    <w:rsid w:val="00DB3698"/>
    <w:rsid w:val="00DC442E"/>
    <w:rsid w:val="00DD63F4"/>
    <w:rsid w:val="00DE580B"/>
    <w:rsid w:val="00DF762E"/>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72DC"/>
    <w:rsid w:val="00E877F1"/>
    <w:rsid w:val="00E90E69"/>
    <w:rsid w:val="00ED306C"/>
    <w:rsid w:val="00EE0FDC"/>
    <w:rsid w:val="00F125BD"/>
    <w:rsid w:val="00F174C7"/>
    <w:rsid w:val="00F22020"/>
    <w:rsid w:val="00F27661"/>
    <w:rsid w:val="00F375A2"/>
    <w:rsid w:val="00F50AE4"/>
    <w:rsid w:val="00F6366C"/>
    <w:rsid w:val="00F6588D"/>
    <w:rsid w:val="00F66A34"/>
    <w:rsid w:val="00F749B4"/>
    <w:rsid w:val="00F874C3"/>
    <w:rsid w:val="00FA207D"/>
    <w:rsid w:val="00FA5E3E"/>
    <w:rsid w:val="00FB6DF8"/>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basedOn w:val="Normal"/>
    <w:link w:val="FootnoteTextChar"/>
    <w:semiHidden/>
    <w:unhideWhenUsed/>
    <w:rsid w:val="001A0706"/>
  </w:style>
  <w:style w:type="character" w:customStyle="1" w:styleId="FootnoteTextChar">
    <w:name w:val="Footnote Text Char"/>
    <w:basedOn w:val="DefaultParagraphFont"/>
    <w:link w:val="FootnoteText"/>
    <w:semiHidden/>
    <w:rsid w:val="001A0706"/>
  </w:style>
  <w:style w:type="character" w:styleId="FootnoteReference">
    <w:name w:val="footnote reference"/>
    <w:aliases w:val="ftref,BVI fnr Char Char Char1 Char1 Char,BVI fnr Car Car Char Char Char1 Char1 Char,BVI fnr Car Char Char Char1 Char1 Char,BVI fnr Car Car Car Car Char Char1 Char1 Char1 Char,Char Char,16 Point,Superscript 6 Point Char,Footnote text"/>
    <w:uiPriority w:val="99"/>
    <w:rsid w:val="001A0706"/>
    <w:rPr>
      <w:vertAlign w:val="superscript"/>
    </w:rPr>
  </w:style>
  <w:style w:type="character" w:styleId="Hyperlink">
    <w:name w:val="Hyperlink"/>
    <w:semiHidden/>
    <w:rsid w:val="001A0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ducation.gov.vu/docs/policies/Vanuatu%20Inclusive%20Education%20Policy_2011.pdf" TargetMode="External"/><Relationship Id="rId2" Type="http://schemas.openxmlformats.org/officeDocument/2006/relationships/hyperlink" Target="http://education.gov.vu/docs/policies/Primary%20Minimum%20Quality%20Standards%20-%20Fact%20Sheet%20(English)_2014.pdf" TargetMode="External"/><Relationship Id="rId1" Type="http://schemas.openxmlformats.org/officeDocument/2006/relationships/hyperlink" Target="https://moet.gov.vu/docs/policies/Sweet%20Drink%20Policy_2014.pdf" TargetMode="External"/><Relationship Id="rId4" Type="http://schemas.openxmlformats.org/officeDocument/2006/relationships/hyperlink" Target="http://planipolis.iiep.unesco.org/upload/Vanuatu/Vanuatu-Education_sector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3047</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2016-09-27T02:31:00Z</cp:lastPrinted>
  <dcterms:created xsi:type="dcterms:W3CDTF">2016-09-28T23:01:00Z</dcterms:created>
  <dcterms:modified xsi:type="dcterms:W3CDTF">2016-09-28T23:01:00Z</dcterms:modified>
</cp:coreProperties>
</file>