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07380BA9">
                <wp:simplePos x="0" y="0"/>
                <wp:positionH relativeFrom="column">
                  <wp:posOffset>1728257</wp:posOffset>
                </wp:positionH>
                <wp:positionV relativeFrom="paragraph">
                  <wp:posOffset>-423</wp:posOffset>
                </wp:positionV>
                <wp:extent cx="3996267" cy="944033"/>
                <wp:effectExtent l="0" t="0" r="444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267" cy="944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30ECDDF" w14:textId="77777777" w:rsidR="008506FB" w:rsidRDefault="005D5049"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52E582C6" w:rsidR="005D5049" w:rsidRPr="005F1412" w:rsidRDefault="008506FB" w:rsidP="00944013">
                            <w:pPr>
                              <w:jc w:val="center"/>
                              <w:rPr>
                                <w:rFonts w:ascii="Arial" w:hAnsi="Arial" w:cs="Arial"/>
                                <w:sz w:val="24"/>
                                <w:szCs w:val="24"/>
                              </w:rPr>
                            </w:pPr>
                            <w:r>
                              <w:rPr>
                                <w:rFonts w:ascii="Arial" w:hAnsi="Arial" w:cs="Arial"/>
                                <w:b/>
                                <w:bCs/>
                                <w:sz w:val="24"/>
                                <w:szCs w:val="24"/>
                              </w:rPr>
                              <w:t xml:space="preserve">Water, sanitation and hygiene (WASH) in Schools </w:t>
                            </w:r>
                            <w:r w:rsidR="005D5049" w:rsidRPr="005F1412">
                              <w:rPr>
                                <w:rFonts w:ascii="Arial" w:hAnsi="Arial" w:cs="Arial"/>
                                <w:b/>
                                <w:bCs/>
                                <w:sz w:val="24"/>
                                <w:szCs w:val="24"/>
                              </w:rPr>
                              <w:t>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6.1pt;margin-top:-.05pt;width:314.6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KRgw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E7Lcp7PFxhRsJVFkU5jcAmpjqeNdf4N1x0Kkxpb&#10;YD6ik/2d8yEaUh1dwmVOS8HWQsq4sNvNjbRoT0Al6/jFBJ65SRWclQ7HRsRxB4KEO4IthBtZ/1Zm&#10;eZFe5+VkPV8uJsW6mE3KRbqcpFl5Xc7Toixu199DgFlRtYIxru6E4kcFZsXfMXzohVE7UYOoh/rM&#10;8tlI0R+TTOP3uyQ74aEhpehqvDw5kSoQ+1oxSJtUngg5zpOfw49Vhhoc/7EqUQaB+VEDftgMgBK0&#10;sdHsEQRhNfAFrMMrApNW268Y9dCRNXZfdsRyjORbBaIqM+AdWjguitkih4U9t2zOLURRgKqxx2ic&#10;3vix7XfGim0LN40yVvoVCLERUSNPUR3kC10Xkzm8EKGtz9fR6+kdW/0AAAD//wMAUEsDBBQABgAI&#10;AAAAIQCTcuH63gAAAAkBAAAPAAAAZHJzL2Rvd25yZXYueG1sTI9BboMwEEX3lXoHayJ1UyUGlEBC&#10;MVFbqVW3SXOAATuAgscIO4HcvtNVuxz9p//fFPvZ9uJmRt85UhCvIhCGaqc7ahScvj+WWxA+IGns&#10;HRkFd+NhXz4+FJhrN9HB3I6hEVxCPkcFbQhDLqWvW2PRr9xgiLOzGy0GPsdG6hEnLre9TKIolRY7&#10;4oUWB/PemvpyvFoF56/pebObqs9wyg7r9A27rHJ3pZ4W8+sLiGDm8AfDrz6rQ8lOlbuS9qJXkGRJ&#10;wqiCZQyC810Ub0BUDK63KciykP8/KH8AAAD//wMAUEsBAi0AFAAGAAgAAAAhALaDOJL+AAAA4QEA&#10;ABMAAAAAAAAAAAAAAAAAAAAAAFtDb250ZW50X1R5cGVzXS54bWxQSwECLQAUAAYACAAAACEAOP0h&#10;/9YAAACUAQAACwAAAAAAAAAAAAAAAAAvAQAAX3JlbHMvLnJlbHNQSwECLQAUAAYACAAAACEAVpsi&#10;kYMCAAAPBQAADgAAAAAAAAAAAAAAAAAuAgAAZHJzL2Uyb0RvYy54bWxQSwECLQAUAAYACAAAACEA&#10;k3Lh+t4AAAAJAQAADwAAAAAAAAAAAAAAAADdBAAAZHJzL2Rvd25yZXYueG1sUEsFBgAAAAAEAAQA&#10;8wAAAOgFA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30ECDDF" w14:textId="77777777" w:rsidR="008506FB" w:rsidRDefault="005D5049"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50CD2CDE" w14:textId="52E582C6" w:rsidR="005D5049" w:rsidRPr="005F1412" w:rsidRDefault="008506FB" w:rsidP="00944013">
                      <w:pPr>
                        <w:jc w:val="center"/>
                        <w:rPr>
                          <w:rFonts w:ascii="Arial" w:hAnsi="Arial" w:cs="Arial"/>
                          <w:sz w:val="24"/>
                          <w:szCs w:val="24"/>
                        </w:rPr>
                      </w:pPr>
                      <w:r>
                        <w:rPr>
                          <w:rFonts w:ascii="Arial" w:hAnsi="Arial" w:cs="Arial"/>
                          <w:b/>
                          <w:bCs/>
                          <w:sz w:val="24"/>
                          <w:szCs w:val="24"/>
                        </w:rPr>
                        <w:t xml:space="preserve">Water, sanitation and hygiene (WASH) in Schools </w:t>
                      </w:r>
                      <w:r w:rsidR="005D5049" w:rsidRPr="005F1412">
                        <w:rPr>
                          <w:rFonts w:ascii="Arial" w:hAnsi="Arial" w:cs="Arial"/>
                          <w:b/>
                          <w:bCs/>
                          <w:sz w:val="24"/>
                          <w:szCs w:val="24"/>
                        </w:rPr>
                        <w:t>CONSULTANT</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3596A92C" w14:textId="77777777" w:rsidR="008506FB" w:rsidRDefault="008506FB" w:rsidP="00944013">
      <w:pPr>
        <w:autoSpaceDE w:val="0"/>
        <w:autoSpaceDN w:val="0"/>
        <w:adjustRightInd w:val="0"/>
        <w:rPr>
          <w:rFonts w:ascii="Arial" w:hAnsi="Arial" w:cs="Arial"/>
          <w:b/>
        </w:rPr>
      </w:pPr>
    </w:p>
    <w:p w14:paraId="6FE4DBB1" w14:textId="77777777" w:rsidR="008506FB" w:rsidRDefault="008506FB" w:rsidP="00944013">
      <w:pPr>
        <w:autoSpaceDE w:val="0"/>
        <w:autoSpaceDN w:val="0"/>
        <w:adjustRightInd w:val="0"/>
        <w:rPr>
          <w:rFonts w:ascii="Arial" w:hAnsi="Arial" w:cs="Arial"/>
          <w:b/>
        </w:rPr>
      </w:pPr>
    </w:p>
    <w:p w14:paraId="0DE56BCA" w14:textId="21138F4A"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952C49" w:rsidRPr="008506FB">
        <w:rPr>
          <w:rFonts w:ascii="Arial" w:hAnsi="Arial" w:cs="Arial"/>
        </w:rPr>
        <w:t xml:space="preserve">WASH </w:t>
      </w:r>
    </w:p>
    <w:p w14:paraId="3564E9FE" w14:textId="77777777" w:rsidR="005F1412" w:rsidRPr="00DF762E" w:rsidRDefault="005F1412" w:rsidP="00944013">
      <w:pPr>
        <w:autoSpaceDE w:val="0"/>
        <w:autoSpaceDN w:val="0"/>
        <w:adjustRightInd w:val="0"/>
        <w:rPr>
          <w:rFonts w:ascii="Arial" w:hAnsi="Arial" w:cs="Arial"/>
          <w:b/>
        </w:rPr>
      </w:pPr>
    </w:p>
    <w:p w14:paraId="7B71854B" w14:textId="1AFEB225"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985032" w:rsidRPr="008506FB">
        <w:rPr>
          <w:rFonts w:ascii="Arial" w:hAnsi="Arial" w:cs="Arial"/>
        </w:rPr>
        <w:t>1</w:t>
      </w:r>
      <w:r w:rsidR="00952C49" w:rsidRPr="008506FB">
        <w:rPr>
          <w:rFonts w:ascii="Arial" w:hAnsi="Arial" w:cs="Arial"/>
        </w:rPr>
        <w:t xml:space="preserve"> </w:t>
      </w:r>
      <w:r w:rsidR="00985032" w:rsidRPr="008506FB">
        <w:rPr>
          <w:rFonts w:ascii="Arial" w:hAnsi="Arial" w:cs="Arial"/>
        </w:rPr>
        <w:t>November</w:t>
      </w:r>
      <w:r w:rsidR="00952C49" w:rsidRPr="008506FB">
        <w:rPr>
          <w:rFonts w:ascii="Arial" w:hAnsi="Arial" w:cs="Arial"/>
        </w:rPr>
        <w:t xml:space="preserve"> 2016</w:t>
      </w:r>
    </w:p>
    <w:p w14:paraId="4D138E26" w14:textId="77777777" w:rsidR="00944013" w:rsidRPr="00DF762E" w:rsidRDefault="00944013" w:rsidP="00944013">
      <w:pPr>
        <w:autoSpaceDE w:val="0"/>
        <w:autoSpaceDN w:val="0"/>
        <w:adjustRightInd w:val="0"/>
        <w:rPr>
          <w:rFonts w:ascii="Arial" w:hAnsi="Arial" w:cs="Arial"/>
        </w:rPr>
      </w:pPr>
    </w:p>
    <w:p w14:paraId="19EA8792" w14:textId="48449848" w:rsidR="00952C49" w:rsidRDefault="00944013" w:rsidP="00944013">
      <w:pPr>
        <w:autoSpaceDE w:val="0"/>
        <w:autoSpaceDN w:val="0"/>
        <w:adjustRightInd w:val="0"/>
        <w:rPr>
          <w:rFonts w:ascii="Arial" w:hAnsi="Arial" w:cs="Arial"/>
          <w:b/>
        </w:rPr>
      </w:pPr>
      <w:r w:rsidRPr="00DF762E">
        <w:rPr>
          <w:rFonts w:ascii="Arial" w:hAnsi="Arial" w:cs="Arial"/>
          <w:b/>
        </w:rPr>
        <w:t xml:space="preserve">Programme Area and Specific Project involved: </w:t>
      </w:r>
      <w:r w:rsidR="00952C49" w:rsidRPr="008506FB">
        <w:rPr>
          <w:rFonts w:ascii="Arial" w:hAnsi="Arial" w:cs="Arial"/>
        </w:rPr>
        <w:t>Multi</w:t>
      </w:r>
      <w:r w:rsidR="00916F94" w:rsidRPr="008506FB">
        <w:rPr>
          <w:rFonts w:ascii="Arial" w:hAnsi="Arial" w:cs="Arial"/>
        </w:rPr>
        <w:t>-</w:t>
      </w:r>
      <w:r w:rsidR="00952C49" w:rsidRPr="008506FB">
        <w:rPr>
          <w:rFonts w:ascii="Arial" w:hAnsi="Arial" w:cs="Arial"/>
        </w:rPr>
        <w:t>country WASH Programme</w:t>
      </w:r>
      <w:r w:rsidR="00952C49">
        <w:rPr>
          <w:rFonts w:ascii="Arial" w:hAnsi="Arial" w:cs="Arial"/>
          <w:b/>
        </w:rPr>
        <w:t xml:space="preserve"> </w:t>
      </w:r>
    </w:p>
    <w:p w14:paraId="2F94D906" w14:textId="0EF04FA7" w:rsidR="00D46C07" w:rsidRDefault="00D46C07" w:rsidP="00944013">
      <w:pPr>
        <w:autoSpaceDE w:val="0"/>
        <w:autoSpaceDN w:val="0"/>
        <w:adjustRightInd w:val="0"/>
        <w:rPr>
          <w:rFonts w:ascii="Arial" w:hAnsi="Arial" w:cs="Arial"/>
        </w:rPr>
      </w:pPr>
      <w:r w:rsidRPr="00DF762E">
        <w:rPr>
          <w:rFonts w:ascii="Arial" w:hAnsi="Arial" w:cs="Arial"/>
          <w:b/>
        </w:rPr>
        <w:t xml:space="preserve">Output: </w:t>
      </w:r>
      <w:r w:rsidR="008A7F49">
        <w:rPr>
          <w:rFonts w:ascii="Arial" w:hAnsi="Arial" w:cs="Arial"/>
        </w:rPr>
        <w:t>2.7 and 2.8</w:t>
      </w:r>
    </w:p>
    <w:p w14:paraId="342C85F2" w14:textId="77777777" w:rsidR="00392C81" w:rsidRPr="00392C81" w:rsidRDefault="00392C81" w:rsidP="00944013">
      <w:pPr>
        <w:autoSpaceDE w:val="0"/>
        <w:autoSpaceDN w:val="0"/>
        <w:adjustRightInd w:val="0"/>
        <w:rPr>
          <w:rFonts w:ascii="Arial" w:hAnsi="Arial" w:cs="Arial"/>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Pr="00DF762E" w:rsidRDefault="00D46C07" w:rsidP="00D46C07">
      <w:pPr>
        <w:rPr>
          <w:rFonts w:ascii="Arial" w:hAnsi="Arial" w:cs="Arial"/>
          <w:b/>
        </w:rPr>
      </w:pPr>
      <w:r w:rsidRPr="00DF762E">
        <w:rPr>
          <w:rFonts w:ascii="Arial" w:hAnsi="Arial" w:cs="Arial"/>
          <w:b/>
        </w:rPr>
        <w:t>Background:</w:t>
      </w:r>
    </w:p>
    <w:p w14:paraId="7BA96AA2" w14:textId="73F9F1CE" w:rsidR="00985032" w:rsidRDefault="00952C49" w:rsidP="00952C49">
      <w:pPr>
        <w:tabs>
          <w:tab w:val="left" w:pos="340"/>
          <w:tab w:val="num" w:pos="1420"/>
        </w:tabs>
        <w:rPr>
          <w:rFonts w:ascii="Arial" w:hAnsi="Arial" w:cs="Arial"/>
        </w:rPr>
      </w:pPr>
      <w:r w:rsidRPr="00952C49">
        <w:rPr>
          <w:rFonts w:ascii="Arial" w:hAnsi="Arial" w:cs="Arial"/>
        </w:rPr>
        <w:t>An estimated 249,</w:t>
      </w:r>
      <w:r>
        <w:rPr>
          <w:rFonts w:ascii="Arial" w:hAnsi="Arial" w:cs="Arial"/>
        </w:rPr>
        <w:t>0</w:t>
      </w:r>
      <w:r w:rsidRPr="00952C49">
        <w:rPr>
          <w:rFonts w:ascii="Arial" w:hAnsi="Arial" w:cs="Arial"/>
        </w:rPr>
        <w:t xml:space="preserve">00 children in the Pacific Region lack access to an improved </w:t>
      </w:r>
      <w:r>
        <w:rPr>
          <w:rFonts w:ascii="Arial" w:hAnsi="Arial" w:cs="Arial"/>
        </w:rPr>
        <w:t>sanitation, and an estimated 71,00</w:t>
      </w:r>
      <w:r w:rsidRPr="00952C49">
        <w:rPr>
          <w:rFonts w:ascii="Arial" w:hAnsi="Arial" w:cs="Arial"/>
        </w:rPr>
        <w:t xml:space="preserve">0 are without improved source of water. </w:t>
      </w:r>
      <w:r>
        <w:rPr>
          <w:rFonts w:ascii="Arial" w:hAnsi="Arial" w:cs="Arial"/>
        </w:rPr>
        <w:t xml:space="preserve">This situation covers both the home and the school environments where these children are living and </w:t>
      </w:r>
      <w:r w:rsidR="008F373E">
        <w:rPr>
          <w:rFonts w:ascii="Arial" w:hAnsi="Arial" w:cs="Arial"/>
        </w:rPr>
        <w:t>are expected to receive an education</w:t>
      </w:r>
      <w:r>
        <w:rPr>
          <w:rFonts w:ascii="Arial" w:hAnsi="Arial" w:cs="Arial"/>
        </w:rPr>
        <w:t xml:space="preserve">. </w:t>
      </w:r>
      <w:r w:rsidR="00985032">
        <w:rPr>
          <w:rFonts w:ascii="Arial" w:hAnsi="Arial" w:cs="Arial"/>
        </w:rPr>
        <w:t xml:space="preserve">Particularly the needs of the children in Fiji became dire after the Tropical Cyclone category 5 Winston. Winston, which hit in February 2016, destroyed around 100 schools in Fiji leaving some 100,000 children without services in schools, hospitals and churches. </w:t>
      </w:r>
    </w:p>
    <w:p w14:paraId="4227A74C" w14:textId="77777777" w:rsidR="00985032" w:rsidRDefault="00985032" w:rsidP="00952C49">
      <w:pPr>
        <w:tabs>
          <w:tab w:val="left" w:pos="340"/>
          <w:tab w:val="num" w:pos="1420"/>
        </w:tabs>
        <w:rPr>
          <w:rFonts w:ascii="Arial" w:hAnsi="Arial" w:cs="Arial"/>
        </w:rPr>
      </w:pPr>
    </w:p>
    <w:p w14:paraId="7D764FBD" w14:textId="400752A2" w:rsidR="00952C49" w:rsidRDefault="00985032" w:rsidP="00952C49">
      <w:pPr>
        <w:tabs>
          <w:tab w:val="left" w:pos="340"/>
          <w:tab w:val="num" w:pos="1420"/>
        </w:tabs>
        <w:rPr>
          <w:rFonts w:ascii="Arial" w:hAnsi="Arial" w:cs="Arial"/>
        </w:rPr>
      </w:pPr>
      <w:r>
        <w:rPr>
          <w:rFonts w:ascii="Arial" w:hAnsi="Arial" w:cs="Arial"/>
        </w:rPr>
        <w:t xml:space="preserve">In recognition of the adverse impacts to children in Fiji and in other countries in the Pacific, </w:t>
      </w:r>
      <w:r w:rsidR="00952C49" w:rsidRPr="00952C49">
        <w:rPr>
          <w:rFonts w:ascii="Arial" w:hAnsi="Arial" w:cs="Arial"/>
        </w:rPr>
        <w:t>UNICEF’s WASH programme sets ou</w:t>
      </w:r>
      <w:r w:rsidR="008F373E">
        <w:rPr>
          <w:rFonts w:ascii="Arial" w:hAnsi="Arial" w:cs="Arial"/>
        </w:rPr>
        <w:t>t its objectives to</w:t>
      </w:r>
      <w:r w:rsidR="00952C49" w:rsidRPr="00952C49">
        <w:rPr>
          <w:rFonts w:ascii="Arial" w:hAnsi="Arial" w:cs="Arial"/>
        </w:rPr>
        <w:t xml:space="preserve"> support the operationalization of governments’ commitments in increasing the resilience of all children and their communities—in both rural and urban areas in the Pacific— against water-borne, water and sanitation related diseases</w:t>
      </w:r>
      <w:r w:rsidR="00952C49">
        <w:rPr>
          <w:rFonts w:ascii="Arial" w:hAnsi="Arial" w:cs="Arial"/>
        </w:rPr>
        <w:t xml:space="preserve"> in ordinary and in emergency times. </w:t>
      </w:r>
    </w:p>
    <w:p w14:paraId="62A9328A" w14:textId="77777777" w:rsidR="008F373E" w:rsidRDefault="008F373E" w:rsidP="00952C49">
      <w:pPr>
        <w:tabs>
          <w:tab w:val="left" w:pos="340"/>
          <w:tab w:val="num" w:pos="1420"/>
        </w:tabs>
        <w:rPr>
          <w:rFonts w:ascii="Arial" w:hAnsi="Arial" w:cs="Arial"/>
        </w:rPr>
      </w:pPr>
    </w:p>
    <w:p w14:paraId="5DAF8BC5" w14:textId="77777777" w:rsidR="002C3611" w:rsidRDefault="008F373E" w:rsidP="002C3611">
      <w:pPr>
        <w:jc w:val="both"/>
        <w:rPr>
          <w:rFonts w:ascii="Arial" w:hAnsi="Arial" w:cs="Arial"/>
        </w:rPr>
      </w:pPr>
      <w:r>
        <w:rPr>
          <w:rFonts w:ascii="Arial" w:hAnsi="Arial" w:cs="Arial"/>
        </w:rPr>
        <w:t>UNICEF WASH Pacific has mobilized external funding regular resources to address this situation for children, particularly in schools</w:t>
      </w:r>
      <w:r w:rsidR="002C3611">
        <w:rPr>
          <w:rFonts w:ascii="Arial" w:hAnsi="Arial" w:cs="Arial"/>
        </w:rPr>
        <w:t xml:space="preserve"> to roll-out</w:t>
      </w:r>
      <w:r>
        <w:rPr>
          <w:rFonts w:ascii="Arial" w:hAnsi="Arial" w:cs="Arial"/>
        </w:rPr>
        <w:t xml:space="preserve"> a simple scalable and sustainable programme in schools: the WASH in Schools Three Star Approach. </w:t>
      </w:r>
      <w:r w:rsidR="002C3611">
        <w:rPr>
          <w:rFonts w:ascii="Arial" w:hAnsi="Arial" w:cs="Arial"/>
        </w:rPr>
        <w:t xml:space="preserve">This programme has been successfully piloted in close collaboration with </w:t>
      </w:r>
      <w:r>
        <w:rPr>
          <w:rFonts w:ascii="Arial" w:hAnsi="Arial" w:cs="Arial"/>
        </w:rPr>
        <w:t>the Ministry of Education and l</w:t>
      </w:r>
      <w:r w:rsidR="002C3611">
        <w:rPr>
          <w:rFonts w:ascii="Arial" w:hAnsi="Arial" w:cs="Arial"/>
        </w:rPr>
        <w:t xml:space="preserve">ocal partners in Fiji, Kiribati. Solomon Island is starting its roll out in November 2016 and Vanuatu is expected to conduct its roll out in 2017. </w:t>
      </w:r>
      <w:r>
        <w:rPr>
          <w:rFonts w:ascii="Arial" w:hAnsi="Arial" w:cs="Arial"/>
        </w:rPr>
        <w:t xml:space="preserve"> </w:t>
      </w:r>
      <w:r w:rsidR="002C3611">
        <w:rPr>
          <w:rFonts w:ascii="Arial" w:hAnsi="Arial" w:cs="Arial"/>
        </w:rPr>
        <w:t>The programme aims</w:t>
      </w:r>
      <w:r>
        <w:rPr>
          <w:rFonts w:ascii="Arial" w:hAnsi="Arial" w:cs="Arial"/>
        </w:rPr>
        <w:t xml:space="preserve"> to support schools in making incremental steps to ensure boys and girls have access to appropriate toilets and safe drinking water in schools, </w:t>
      </w:r>
      <w:r w:rsidR="002C3611">
        <w:rPr>
          <w:rFonts w:ascii="Arial" w:hAnsi="Arial" w:cs="Arial"/>
        </w:rPr>
        <w:t>boys and girls</w:t>
      </w:r>
      <w:r>
        <w:rPr>
          <w:rFonts w:ascii="Arial" w:hAnsi="Arial" w:cs="Arial"/>
        </w:rPr>
        <w:t xml:space="preserve"> wash their hands with soap daily and are empowered through school clubs.</w:t>
      </w:r>
      <w:r w:rsidR="002C3611">
        <w:rPr>
          <w:rFonts w:ascii="Arial" w:hAnsi="Arial" w:cs="Arial"/>
        </w:rPr>
        <w:t xml:space="preserve"> </w:t>
      </w:r>
    </w:p>
    <w:p w14:paraId="25DC561B" w14:textId="77777777" w:rsidR="002C3611" w:rsidRDefault="002C3611" w:rsidP="002C3611">
      <w:pPr>
        <w:jc w:val="both"/>
        <w:rPr>
          <w:rFonts w:ascii="Arial" w:hAnsi="Arial" w:cs="Arial"/>
        </w:rPr>
      </w:pPr>
    </w:p>
    <w:p w14:paraId="10DFFDBD" w14:textId="6814E797" w:rsidR="002C3611" w:rsidRDefault="002C3611" w:rsidP="002C3611">
      <w:pPr>
        <w:jc w:val="both"/>
        <w:rPr>
          <w:rFonts w:ascii="Arial" w:hAnsi="Arial" w:cs="Arial"/>
        </w:rPr>
      </w:pPr>
      <w:r>
        <w:rPr>
          <w:rFonts w:ascii="Arial" w:hAnsi="Arial" w:cs="Arial"/>
        </w:rPr>
        <w:t xml:space="preserve">The UNICEF Pacific WASH Multi-country programme milestones include: </w:t>
      </w:r>
    </w:p>
    <w:p w14:paraId="6FCECB88" w14:textId="18AEE885" w:rsidR="002C3611" w:rsidRDefault="002C3611" w:rsidP="002C3611">
      <w:pPr>
        <w:pStyle w:val="ListParagraph"/>
        <w:numPr>
          <w:ilvl w:val="0"/>
          <w:numId w:val="25"/>
        </w:numPr>
        <w:jc w:val="both"/>
        <w:rPr>
          <w:rFonts w:ascii="Arial" w:hAnsi="Arial" w:cs="Arial"/>
        </w:rPr>
      </w:pPr>
      <w:r>
        <w:rPr>
          <w:rFonts w:ascii="Arial" w:hAnsi="Arial" w:cs="Arial"/>
        </w:rPr>
        <w:t>Access to water, and toilets by communities (schools, households and healthcare facilities)</w:t>
      </w:r>
    </w:p>
    <w:p w14:paraId="3CBEDC74" w14:textId="7174F589" w:rsidR="002C3611" w:rsidRDefault="002C3611" w:rsidP="002C3611">
      <w:pPr>
        <w:pStyle w:val="ListParagraph"/>
        <w:numPr>
          <w:ilvl w:val="0"/>
          <w:numId w:val="25"/>
        </w:numPr>
        <w:jc w:val="both"/>
        <w:rPr>
          <w:rFonts w:ascii="Arial" w:hAnsi="Arial" w:cs="Arial"/>
        </w:rPr>
      </w:pPr>
      <w:r>
        <w:rPr>
          <w:rFonts w:ascii="Arial" w:hAnsi="Arial" w:cs="Arial"/>
        </w:rPr>
        <w:t>Functioning monitoring</w:t>
      </w:r>
      <w:r w:rsidR="009F37C0">
        <w:rPr>
          <w:rFonts w:ascii="Arial" w:hAnsi="Arial" w:cs="Arial"/>
        </w:rPr>
        <w:t xml:space="preserve"> and reporting</w:t>
      </w:r>
      <w:r>
        <w:rPr>
          <w:rFonts w:ascii="Arial" w:hAnsi="Arial" w:cs="Arial"/>
        </w:rPr>
        <w:t xml:space="preserve"> mechanisms </w:t>
      </w:r>
    </w:p>
    <w:p w14:paraId="028B52FC" w14:textId="54C394F6" w:rsidR="002C3611" w:rsidRDefault="002C3611" w:rsidP="002C3611">
      <w:pPr>
        <w:pStyle w:val="ListParagraph"/>
        <w:numPr>
          <w:ilvl w:val="0"/>
          <w:numId w:val="25"/>
        </w:numPr>
        <w:jc w:val="both"/>
        <w:rPr>
          <w:rFonts w:ascii="Arial" w:hAnsi="Arial" w:cs="Arial"/>
        </w:rPr>
      </w:pPr>
      <w:r>
        <w:rPr>
          <w:rFonts w:ascii="Arial" w:hAnsi="Arial" w:cs="Arial"/>
        </w:rPr>
        <w:t xml:space="preserve">Scaled up WASH in Schools nationally in Fiji, Kiribati, Solomon Islands and Vanuatu </w:t>
      </w:r>
    </w:p>
    <w:p w14:paraId="6E3676B5" w14:textId="450DA22E" w:rsidR="002C3611" w:rsidRDefault="002C3611" w:rsidP="002C3611">
      <w:pPr>
        <w:pStyle w:val="ListParagraph"/>
        <w:numPr>
          <w:ilvl w:val="0"/>
          <w:numId w:val="25"/>
        </w:numPr>
        <w:jc w:val="both"/>
        <w:rPr>
          <w:rFonts w:ascii="Arial" w:hAnsi="Arial" w:cs="Arial"/>
        </w:rPr>
      </w:pPr>
      <w:r>
        <w:rPr>
          <w:rFonts w:ascii="Arial" w:hAnsi="Arial" w:cs="Arial"/>
        </w:rPr>
        <w:t>Emergency preparedness and response strengthened</w:t>
      </w:r>
    </w:p>
    <w:p w14:paraId="050570A3" w14:textId="5D9536B4" w:rsidR="002C3611" w:rsidRDefault="002C3611" w:rsidP="002C3611">
      <w:pPr>
        <w:pStyle w:val="ListParagraph"/>
        <w:numPr>
          <w:ilvl w:val="0"/>
          <w:numId w:val="25"/>
        </w:numPr>
        <w:jc w:val="both"/>
        <w:rPr>
          <w:rFonts w:ascii="Arial" w:hAnsi="Arial" w:cs="Arial"/>
        </w:rPr>
      </w:pPr>
      <w:r w:rsidRPr="009F37C0">
        <w:rPr>
          <w:rFonts w:ascii="Arial" w:hAnsi="Arial" w:cs="Arial"/>
        </w:rPr>
        <w:t xml:space="preserve">Functioning </w:t>
      </w:r>
      <w:r w:rsidR="009F37C0">
        <w:rPr>
          <w:rFonts w:ascii="Arial" w:hAnsi="Arial" w:cs="Arial"/>
        </w:rPr>
        <w:t>sector coordination mechanism</w:t>
      </w:r>
    </w:p>
    <w:p w14:paraId="406072E1" w14:textId="50B56E36" w:rsidR="009F37C0" w:rsidRPr="009F37C0" w:rsidRDefault="009F37C0" w:rsidP="002C3611">
      <w:pPr>
        <w:pStyle w:val="ListParagraph"/>
        <w:numPr>
          <w:ilvl w:val="0"/>
          <w:numId w:val="25"/>
        </w:numPr>
        <w:jc w:val="both"/>
        <w:rPr>
          <w:rFonts w:ascii="Arial" w:hAnsi="Arial" w:cs="Arial"/>
        </w:rPr>
      </w:pPr>
      <w:r>
        <w:rPr>
          <w:rFonts w:ascii="Arial" w:hAnsi="Arial" w:cs="Arial"/>
        </w:rPr>
        <w:t xml:space="preserve">National and school action plans integrative of drinking water safety and security plans and resilient to climate change and risks. </w:t>
      </w:r>
    </w:p>
    <w:p w14:paraId="5D6FCAED" w14:textId="77777777" w:rsidR="002C3611" w:rsidRPr="002C3611" w:rsidRDefault="002C3611" w:rsidP="002C3611">
      <w:pPr>
        <w:pStyle w:val="ListParagraph"/>
        <w:jc w:val="both"/>
        <w:rPr>
          <w:rFonts w:ascii="Arial" w:hAnsi="Arial" w:cs="Arial"/>
        </w:rPr>
      </w:pPr>
    </w:p>
    <w:p w14:paraId="196AB360" w14:textId="6AEC2091" w:rsidR="009F37C0" w:rsidRPr="009F37C0" w:rsidRDefault="009F37C0" w:rsidP="00392C81">
      <w:pPr>
        <w:jc w:val="both"/>
        <w:rPr>
          <w:rFonts w:ascii="Arial" w:hAnsi="Arial" w:cs="Arial"/>
        </w:rPr>
      </w:pPr>
      <w:r>
        <w:rPr>
          <w:rFonts w:ascii="Arial" w:hAnsi="Arial" w:cs="Arial"/>
        </w:rPr>
        <w:t xml:space="preserve">Additional support through a WASH Consultant is </w:t>
      </w:r>
      <w:r w:rsidRPr="009F37C0">
        <w:rPr>
          <w:rFonts w:ascii="Arial" w:hAnsi="Arial" w:cs="Arial"/>
        </w:rPr>
        <w:t>required in order to support UNICEF’s field offices and regional office in achieving programme milestones, improve overall monitoring, review progress and identify new areas of support for future programming in close collaboration with government counterparts and partner agencies.</w:t>
      </w:r>
    </w:p>
    <w:p w14:paraId="765B77E9" w14:textId="77777777" w:rsidR="00DF762E" w:rsidRPr="00DF762E" w:rsidRDefault="00DF762E" w:rsidP="00392C81">
      <w:pPr>
        <w:pStyle w:val="Header"/>
        <w:pBdr>
          <w:bottom w:val="single" w:sz="4" w:space="1" w:color="auto"/>
        </w:pBdr>
        <w:tabs>
          <w:tab w:val="left" w:pos="1080"/>
          <w:tab w:val="left" w:pos="2340"/>
        </w:tabs>
        <w:rPr>
          <w:rFonts w:ascii="Arial" w:hAnsi="Arial" w:cs="Arial"/>
          <w:bCs/>
          <w:lang w:val="en-GB"/>
        </w:rPr>
      </w:pPr>
    </w:p>
    <w:p w14:paraId="7E73A9CB" w14:textId="76AC8213" w:rsidR="00D46C07" w:rsidRPr="00DF762E" w:rsidRDefault="00944013" w:rsidP="00DF762E">
      <w:pPr>
        <w:pStyle w:val="Header"/>
        <w:tabs>
          <w:tab w:val="left" w:pos="1080"/>
          <w:tab w:val="left" w:pos="2340"/>
        </w:tabs>
        <w:spacing w:line="276" w:lineRule="auto"/>
        <w:rPr>
          <w:rFonts w:ascii="Arial" w:hAnsi="Arial" w:cs="Arial"/>
        </w:rPr>
      </w:pPr>
      <w:r w:rsidRPr="00DF762E">
        <w:rPr>
          <w:rFonts w:ascii="Arial" w:hAnsi="Arial" w:cs="Arial"/>
          <w:b/>
        </w:rPr>
        <w:t xml:space="preserve">Purpose of Assignment:  </w:t>
      </w:r>
    </w:p>
    <w:p w14:paraId="3B0394AB" w14:textId="746BEA95" w:rsidR="00952C49" w:rsidRPr="00952C49" w:rsidRDefault="00952C49" w:rsidP="00952C49">
      <w:pPr>
        <w:jc w:val="both"/>
        <w:rPr>
          <w:rFonts w:ascii="Arial" w:hAnsi="Arial" w:cs="Arial"/>
        </w:rPr>
      </w:pPr>
      <w:r w:rsidRPr="00952C49">
        <w:rPr>
          <w:rFonts w:ascii="Arial" w:hAnsi="Arial" w:cs="Arial"/>
        </w:rPr>
        <w:t xml:space="preserve">The </w:t>
      </w:r>
      <w:r w:rsidR="00985032">
        <w:rPr>
          <w:rFonts w:ascii="Arial" w:hAnsi="Arial" w:cs="Arial"/>
        </w:rPr>
        <w:t>WASH in Schools Consultant</w:t>
      </w:r>
      <w:r w:rsidRPr="00952C49">
        <w:rPr>
          <w:rFonts w:ascii="Arial" w:hAnsi="Arial" w:cs="Arial"/>
        </w:rPr>
        <w:t xml:space="preserve"> will play a critical role in the rolling out of the WASH in Schools approach as well as </w:t>
      </w:r>
      <w:r w:rsidR="008506FB">
        <w:rPr>
          <w:rFonts w:ascii="Arial" w:hAnsi="Arial" w:cs="Arial"/>
        </w:rPr>
        <w:t xml:space="preserve">supporting inclusion of WASH in Schools and related aspects such as gender, menstrual hygiene management, </w:t>
      </w:r>
      <w:proofErr w:type="gramStart"/>
      <w:r w:rsidR="008506FB">
        <w:rPr>
          <w:rFonts w:ascii="Arial" w:hAnsi="Arial" w:cs="Arial"/>
        </w:rPr>
        <w:t>children</w:t>
      </w:r>
      <w:proofErr w:type="gramEnd"/>
      <w:r w:rsidR="008506FB">
        <w:rPr>
          <w:rFonts w:ascii="Arial" w:hAnsi="Arial" w:cs="Arial"/>
        </w:rPr>
        <w:t xml:space="preserve"> with a disability, climate change and resilience in regional sector standards, guidelines and other tools.</w:t>
      </w:r>
      <w:r w:rsidRPr="00952C49">
        <w:rPr>
          <w:rFonts w:ascii="Arial" w:hAnsi="Arial" w:cs="Arial"/>
        </w:rPr>
        <w:t xml:space="preserve"> The </w:t>
      </w:r>
      <w:r w:rsidR="00C22307">
        <w:rPr>
          <w:rFonts w:ascii="Arial" w:hAnsi="Arial" w:cs="Arial"/>
        </w:rPr>
        <w:t>consultant</w:t>
      </w:r>
      <w:r w:rsidRPr="00952C49">
        <w:rPr>
          <w:rFonts w:ascii="Arial" w:hAnsi="Arial" w:cs="Arial"/>
        </w:rPr>
        <w:t xml:space="preserve"> is expected to work closely with other UNICEF Sections (most notably Education) and various government counterparts including the Ministry of Education, Ministry of Health, Water Authorities, National Disaster Management Office (NDMO), UN agencies, regional organizations and NGO’s combined in the Pacific WASH Coalition and National WASH Clusters.</w:t>
      </w:r>
    </w:p>
    <w:p w14:paraId="7B02AE4A" w14:textId="77777777" w:rsidR="00392C81" w:rsidRDefault="00392C81" w:rsidP="009F37C0">
      <w:pPr>
        <w:autoSpaceDE w:val="0"/>
        <w:autoSpaceDN w:val="0"/>
        <w:adjustRightInd w:val="0"/>
        <w:spacing w:before="120"/>
        <w:rPr>
          <w:rFonts w:ascii="Arial" w:hAnsi="Arial" w:cs="Arial"/>
          <w:b/>
        </w:rPr>
      </w:pPr>
    </w:p>
    <w:p w14:paraId="30E533FC" w14:textId="77777777" w:rsidR="00392C81" w:rsidRDefault="00392C81" w:rsidP="009F37C0">
      <w:pPr>
        <w:autoSpaceDE w:val="0"/>
        <w:autoSpaceDN w:val="0"/>
        <w:adjustRightInd w:val="0"/>
        <w:spacing w:before="120"/>
        <w:rPr>
          <w:rFonts w:ascii="Arial" w:hAnsi="Arial" w:cs="Arial"/>
          <w:b/>
        </w:rPr>
      </w:pPr>
    </w:p>
    <w:p w14:paraId="640821FC" w14:textId="77777777" w:rsidR="00392C81" w:rsidRDefault="00392C81" w:rsidP="009F37C0">
      <w:pPr>
        <w:autoSpaceDE w:val="0"/>
        <w:autoSpaceDN w:val="0"/>
        <w:adjustRightInd w:val="0"/>
        <w:spacing w:before="120"/>
        <w:rPr>
          <w:rFonts w:ascii="Arial" w:hAnsi="Arial" w:cs="Arial"/>
          <w:b/>
        </w:rPr>
      </w:pPr>
    </w:p>
    <w:p w14:paraId="270CBFC7" w14:textId="77777777" w:rsidR="00392C81" w:rsidRDefault="00392C81" w:rsidP="009F37C0">
      <w:pPr>
        <w:autoSpaceDE w:val="0"/>
        <w:autoSpaceDN w:val="0"/>
        <w:adjustRightInd w:val="0"/>
        <w:spacing w:before="120"/>
        <w:rPr>
          <w:rFonts w:ascii="Arial" w:hAnsi="Arial" w:cs="Arial"/>
          <w:b/>
        </w:rPr>
      </w:pPr>
    </w:p>
    <w:p w14:paraId="39F65B1E" w14:textId="2FFA29E2" w:rsidR="00133939" w:rsidRDefault="00944013" w:rsidP="009F37C0">
      <w:pPr>
        <w:autoSpaceDE w:val="0"/>
        <w:autoSpaceDN w:val="0"/>
        <w:adjustRightInd w:val="0"/>
        <w:spacing w:before="120"/>
        <w:rPr>
          <w:rFonts w:ascii="Arial" w:hAnsi="Arial" w:cs="Arial"/>
          <w:b/>
        </w:rPr>
      </w:pPr>
      <w:r w:rsidRPr="00DF762E">
        <w:rPr>
          <w:rFonts w:ascii="Arial" w:hAnsi="Arial" w:cs="Arial"/>
          <w:b/>
        </w:rPr>
        <w:lastRenderedPageBreak/>
        <w:t xml:space="preserve">Scope of Work/ Work Assignments:  </w:t>
      </w:r>
    </w:p>
    <w:p w14:paraId="14DF5429" w14:textId="201B8483" w:rsidR="009F37C0" w:rsidRDefault="009F37C0" w:rsidP="009F37C0">
      <w:pPr>
        <w:rPr>
          <w:rFonts w:ascii="Arial" w:hAnsi="Arial" w:cs="Arial"/>
        </w:rPr>
      </w:pPr>
      <w:r>
        <w:rPr>
          <w:rFonts w:ascii="Arial" w:hAnsi="Arial" w:cs="Arial"/>
        </w:rPr>
        <w:t xml:space="preserve">The </w:t>
      </w:r>
      <w:r w:rsidRPr="001A0706">
        <w:rPr>
          <w:rFonts w:ascii="Arial" w:hAnsi="Arial" w:cs="Arial"/>
        </w:rPr>
        <w:t xml:space="preserve">consultant </w:t>
      </w:r>
      <w:r>
        <w:rPr>
          <w:rFonts w:ascii="Arial" w:hAnsi="Arial" w:cs="Arial"/>
        </w:rPr>
        <w:t>will</w:t>
      </w:r>
      <w:r w:rsidRPr="001A0706">
        <w:rPr>
          <w:rFonts w:ascii="Arial" w:hAnsi="Arial" w:cs="Arial"/>
        </w:rPr>
        <w:t xml:space="preserve"> carry out the following activities in support of the following areas of work: </w:t>
      </w:r>
    </w:p>
    <w:p w14:paraId="56AC53AD" w14:textId="77777777" w:rsidR="009F37C0" w:rsidRPr="001A0706" w:rsidRDefault="009F37C0" w:rsidP="009F37C0">
      <w:pPr>
        <w:rPr>
          <w:rFonts w:ascii="Arial" w:hAnsi="Arial" w:cs="Arial"/>
        </w:rPr>
      </w:pPr>
    </w:p>
    <w:p w14:paraId="2C130930" w14:textId="1D8E63D0" w:rsidR="009F37C0" w:rsidRPr="001A0706" w:rsidRDefault="009F37C0" w:rsidP="009F37C0">
      <w:pPr>
        <w:numPr>
          <w:ilvl w:val="0"/>
          <w:numId w:val="26"/>
        </w:numPr>
        <w:autoSpaceDE w:val="0"/>
        <w:autoSpaceDN w:val="0"/>
        <w:adjustRightInd w:val="0"/>
        <w:contextualSpacing/>
        <w:rPr>
          <w:rFonts w:ascii="Arial" w:hAnsi="Arial" w:cs="Arial"/>
          <w:b/>
        </w:rPr>
      </w:pPr>
      <w:r w:rsidRPr="001A0706">
        <w:rPr>
          <w:rFonts w:ascii="Arial" w:hAnsi="Arial" w:cs="Arial"/>
          <w:b/>
        </w:rPr>
        <w:t>WASH in Schools</w:t>
      </w:r>
      <w:r>
        <w:rPr>
          <w:rFonts w:ascii="Arial" w:hAnsi="Arial" w:cs="Arial"/>
          <w:b/>
        </w:rPr>
        <w:t xml:space="preserve">. </w:t>
      </w:r>
      <w:r w:rsidRPr="009F37C0">
        <w:rPr>
          <w:rFonts w:ascii="Arial" w:hAnsi="Arial" w:cs="Arial"/>
        </w:rPr>
        <w:t>Provide technical support to government partners and local NGOs implementing WASH in Schools programmes</w:t>
      </w:r>
    </w:p>
    <w:p w14:paraId="476DE9EF" w14:textId="275A4286" w:rsidR="009F37C0" w:rsidRPr="001A0706" w:rsidRDefault="009F37C0" w:rsidP="009F37C0">
      <w:pPr>
        <w:numPr>
          <w:ilvl w:val="1"/>
          <w:numId w:val="27"/>
        </w:numPr>
        <w:autoSpaceDE w:val="0"/>
        <w:autoSpaceDN w:val="0"/>
        <w:adjustRightInd w:val="0"/>
        <w:contextualSpacing/>
        <w:rPr>
          <w:rFonts w:ascii="Arial" w:hAnsi="Arial" w:cs="Arial"/>
        </w:rPr>
      </w:pPr>
      <w:r>
        <w:rPr>
          <w:rFonts w:ascii="Arial" w:hAnsi="Arial" w:cs="Arial"/>
        </w:rPr>
        <w:t>Conduct bottleneck analysis and baseline assessment/survey for WASH in Schools</w:t>
      </w:r>
      <w:r w:rsidR="00904684">
        <w:rPr>
          <w:rFonts w:ascii="Arial" w:hAnsi="Arial" w:cs="Arial"/>
        </w:rPr>
        <w:t xml:space="preserve"> </w:t>
      </w:r>
    </w:p>
    <w:p w14:paraId="47FEEBCE" w14:textId="0B3E6A59" w:rsidR="009F37C0" w:rsidRPr="001A0706" w:rsidRDefault="009F37C0" w:rsidP="009F37C0">
      <w:pPr>
        <w:numPr>
          <w:ilvl w:val="1"/>
          <w:numId w:val="27"/>
        </w:numPr>
        <w:autoSpaceDE w:val="0"/>
        <w:autoSpaceDN w:val="0"/>
        <w:adjustRightInd w:val="0"/>
        <w:contextualSpacing/>
        <w:rPr>
          <w:rFonts w:ascii="Arial" w:hAnsi="Arial" w:cs="Arial"/>
        </w:rPr>
      </w:pPr>
      <w:r w:rsidRPr="001A0706">
        <w:rPr>
          <w:rFonts w:ascii="Arial" w:hAnsi="Arial" w:cs="Arial"/>
        </w:rPr>
        <w:t xml:space="preserve">Conduct </w:t>
      </w:r>
      <w:r w:rsidR="00C22307" w:rsidRPr="00C22307">
        <w:rPr>
          <w:rFonts w:ascii="Arial" w:hAnsi="Arial" w:cs="Arial"/>
        </w:rPr>
        <w:t>3</w:t>
      </w:r>
      <w:r w:rsidRPr="001A0706">
        <w:rPr>
          <w:rFonts w:ascii="Arial" w:hAnsi="Arial" w:cs="Arial"/>
        </w:rPr>
        <w:t xml:space="preserve"> </w:t>
      </w:r>
      <w:r>
        <w:rPr>
          <w:rFonts w:ascii="Arial" w:hAnsi="Arial" w:cs="Arial"/>
        </w:rPr>
        <w:t>field monitoring</w:t>
      </w:r>
      <w:r w:rsidRPr="001A0706">
        <w:rPr>
          <w:rFonts w:ascii="Arial" w:hAnsi="Arial" w:cs="Arial"/>
        </w:rPr>
        <w:t xml:space="preserve"> visits </w:t>
      </w:r>
      <w:r>
        <w:rPr>
          <w:rFonts w:ascii="Arial" w:hAnsi="Arial" w:cs="Arial"/>
        </w:rPr>
        <w:t xml:space="preserve">in the field with partners </w:t>
      </w:r>
      <w:r w:rsidRPr="001A0706">
        <w:rPr>
          <w:rFonts w:ascii="Arial" w:hAnsi="Arial" w:cs="Arial"/>
        </w:rPr>
        <w:t xml:space="preserve"> </w:t>
      </w:r>
    </w:p>
    <w:p w14:paraId="724FE39F" w14:textId="0CBF288B" w:rsidR="009F37C0" w:rsidRDefault="00904684" w:rsidP="009F37C0">
      <w:pPr>
        <w:numPr>
          <w:ilvl w:val="1"/>
          <w:numId w:val="27"/>
        </w:numPr>
        <w:autoSpaceDE w:val="0"/>
        <w:autoSpaceDN w:val="0"/>
        <w:adjustRightInd w:val="0"/>
        <w:contextualSpacing/>
        <w:rPr>
          <w:rFonts w:ascii="Arial" w:hAnsi="Arial" w:cs="Arial"/>
        </w:rPr>
      </w:pPr>
      <w:r>
        <w:rPr>
          <w:rFonts w:ascii="Arial" w:hAnsi="Arial" w:cs="Arial"/>
        </w:rPr>
        <w:t>Conduct capacity assessment of WASH in Schools partners and develop</w:t>
      </w:r>
      <w:r w:rsidR="00E72300">
        <w:rPr>
          <w:rFonts w:ascii="Arial" w:hAnsi="Arial" w:cs="Arial"/>
        </w:rPr>
        <w:t xml:space="preserve"> a Three Star Approach training</w:t>
      </w:r>
      <w:r w:rsidR="00373582">
        <w:rPr>
          <w:rFonts w:ascii="Arial" w:hAnsi="Arial" w:cs="Arial"/>
        </w:rPr>
        <w:t xml:space="preserve"> manual</w:t>
      </w:r>
      <w:r w:rsidR="00E72300">
        <w:rPr>
          <w:rFonts w:ascii="Arial" w:hAnsi="Arial" w:cs="Arial"/>
        </w:rPr>
        <w:t>, documentation, monitoring and reporting mechanisms</w:t>
      </w:r>
    </w:p>
    <w:p w14:paraId="36CEE05A" w14:textId="01B722C8" w:rsidR="00904684" w:rsidRPr="001A0706" w:rsidRDefault="00904684" w:rsidP="009F37C0">
      <w:pPr>
        <w:numPr>
          <w:ilvl w:val="1"/>
          <w:numId w:val="27"/>
        </w:numPr>
        <w:autoSpaceDE w:val="0"/>
        <w:autoSpaceDN w:val="0"/>
        <w:adjustRightInd w:val="0"/>
        <w:contextualSpacing/>
        <w:rPr>
          <w:rFonts w:ascii="Arial" w:hAnsi="Arial" w:cs="Arial"/>
        </w:rPr>
      </w:pPr>
      <w:r>
        <w:rPr>
          <w:rFonts w:ascii="Arial" w:hAnsi="Arial" w:cs="Arial"/>
        </w:rPr>
        <w:t>If applicable, support partners enrolled in the WASH in Schools course led by Emory University or any other WASH training endorsed by UNICEF WASH</w:t>
      </w:r>
    </w:p>
    <w:p w14:paraId="7DDC2FE9" w14:textId="77777777" w:rsidR="009F37C0" w:rsidRPr="001A0706" w:rsidRDefault="009F37C0" w:rsidP="009F37C0">
      <w:pPr>
        <w:autoSpaceDE w:val="0"/>
        <w:autoSpaceDN w:val="0"/>
        <w:adjustRightInd w:val="0"/>
        <w:ind w:left="1080"/>
        <w:contextualSpacing/>
        <w:rPr>
          <w:rFonts w:ascii="Arial" w:hAnsi="Arial" w:cs="Arial"/>
        </w:rPr>
      </w:pPr>
    </w:p>
    <w:p w14:paraId="0327063E" w14:textId="67F7C5F9" w:rsidR="009F37C0" w:rsidRPr="001A0706" w:rsidRDefault="009F37C0" w:rsidP="009F37C0">
      <w:pPr>
        <w:numPr>
          <w:ilvl w:val="0"/>
          <w:numId w:val="26"/>
        </w:numPr>
        <w:autoSpaceDE w:val="0"/>
        <w:autoSpaceDN w:val="0"/>
        <w:adjustRightInd w:val="0"/>
        <w:contextualSpacing/>
        <w:rPr>
          <w:rFonts w:ascii="Arial" w:hAnsi="Arial" w:cs="Arial"/>
          <w:b/>
        </w:rPr>
      </w:pPr>
      <w:r w:rsidRPr="001A0706">
        <w:rPr>
          <w:rFonts w:ascii="Arial" w:hAnsi="Arial" w:cs="Arial"/>
          <w:b/>
        </w:rPr>
        <w:t>WASH Sector Coordination</w:t>
      </w:r>
      <w:r>
        <w:rPr>
          <w:rFonts w:ascii="Arial" w:hAnsi="Arial" w:cs="Arial"/>
          <w:b/>
        </w:rPr>
        <w:t xml:space="preserve">. </w:t>
      </w:r>
      <w:r w:rsidR="00392C81">
        <w:rPr>
          <w:rFonts w:ascii="Arial" w:hAnsi="Arial" w:cs="Arial"/>
        </w:rPr>
        <w:t>Provide technical support and input to sector groups (regional and local)</w:t>
      </w:r>
    </w:p>
    <w:p w14:paraId="799344E0" w14:textId="5DA8A036" w:rsidR="009F37C0" w:rsidRPr="001A0706" w:rsidRDefault="009F37C0" w:rsidP="009F37C0">
      <w:pPr>
        <w:numPr>
          <w:ilvl w:val="1"/>
          <w:numId w:val="28"/>
        </w:numPr>
        <w:autoSpaceDE w:val="0"/>
        <w:autoSpaceDN w:val="0"/>
        <w:adjustRightInd w:val="0"/>
        <w:contextualSpacing/>
        <w:rPr>
          <w:rFonts w:ascii="Arial" w:hAnsi="Arial" w:cs="Arial"/>
        </w:rPr>
      </w:pPr>
      <w:r w:rsidRPr="001A0706">
        <w:rPr>
          <w:rFonts w:ascii="Arial" w:hAnsi="Arial" w:cs="Arial"/>
        </w:rPr>
        <w:t>Support development of evidence</w:t>
      </w:r>
      <w:r w:rsidR="008A7F49">
        <w:rPr>
          <w:rFonts w:ascii="Arial" w:hAnsi="Arial" w:cs="Arial"/>
        </w:rPr>
        <w:t xml:space="preserve"> base and use of PHAST and Drinking water safety and security plans (DWSSPs)</w:t>
      </w:r>
      <w:r w:rsidRPr="001A0706">
        <w:rPr>
          <w:rFonts w:ascii="Arial" w:hAnsi="Arial" w:cs="Arial"/>
        </w:rPr>
        <w:t>, through field monitoring and audits.</w:t>
      </w:r>
    </w:p>
    <w:p w14:paraId="30C1749F" w14:textId="1EFDBBD0" w:rsidR="00904684" w:rsidRDefault="00904684" w:rsidP="009F37C0">
      <w:pPr>
        <w:numPr>
          <w:ilvl w:val="1"/>
          <w:numId w:val="28"/>
        </w:numPr>
        <w:autoSpaceDE w:val="0"/>
        <w:autoSpaceDN w:val="0"/>
        <w:adjustRightInd w:val="0"/>
        <w:contextualSpacing/>
        <w:rPr>
          <w:rFonts w:ascii="Arial" w:hAnsi="Arial" w:cs="Arial"/>
        </w:rPr>
      </w:pPr>
      <w:r>
        <w:rPr>
          <w:rFonts w:ascii="Arial" w:hAnsi="Arial" w:cs="Arial"/>
        </w:rPr>
        <w:t xml:space="preserve">Work closely with regional partners such as </w:t>
      </w:r>
      <w:r w:rsidR="008A7F49">
        <w:rPr>
          <w:rFonts w:ascii="Arial" w:hAnsi="Arial" w:cs="Arial"/>
        </w:rPr>
        <w:t>Secretariat for the Pacific Community (</w:t>
      </w:r>
      <w:r>
        <w:rPr>
          <w:rFonts w:ascii="Arial" w:hAnsi="Arial" w:cs="Arial"/>
        </w:rPr>
        <w:t>SPC</w:t>
      </w:r>
      <w:r w:rsidR="008A7F49">
        <w:rPr>
          <w:rFonts w:ascii="Arial" w:hAnsi="Arial" w:cs="Arial"/>
        </w:rPr>
        <w:t>)</w:t>
      </w:r>
      <w:r>
        <w:rPr>
          <w:rFonts w:ascii="Arial" w:hAnsi="Arial" w:cs="Arial"/>
        </w:rPr>
        <w:t>, Pacific Disability Forum among harmonization for cross-sectoral work such as gender, children with a disability and climate change risk management</w:t>
      </w:r>
    </w:p>
    <w:p w14:paraId="6F6686F0" w14:textId="6AE7C1BB" w:rsidR="009F37C0" w:rsidRPr="001A0706" w:rsidRDefault="009F37C0" w:rsidP="009F37C0">
      <w:pPr>
        <w:numPr>
          <w:ilvl w:val="1"/>
          <w:numId w:val="28"/>
        </w:numPr>
        <w:autoSpaceDE w:val="0"/>
        <w:autoSpaceDN w:val="0"/>
        <w:adjustRightInd w:val="0"/>
        <w:contextualSpacing/>
        <w:rPr>
          <w:rFonts w:ascii="Arial" w:hAnsi="Arial" w:cs="Arial"/>
        </w:rPr>
      </w:pPr>
      <w:r w:rsidRPr="001A0706">
        <w:rPr>
          <w:rFonts w:ascii="Arial" w:hAnsi="Arial" w:cs="Arial"/>
        </w:rPr>
        <w:t xml:space="preserve">Support coordination related aspects </w:t>
      </w:r>
      <w:r w:rsidR="00904684">
        <w:rPr>
          <w:rFonts w:ascii="Arial" w:hAnsi="Arial" w:cs="Arial"/>
        </w:rPr>
        <w:t xml:space="preserve">around WASH policies, standards and guidelines development in UNICEF or by partners </w:t>
      </w:r>
    </w:p>
    <w:p w14:paraId="4B538C83" w14:textId="77777777" w:rsidR="009F37C0" w:rsidRPr="001A0706" w:rsidRDefault="009F37C0" w:rsidP="009F37C0">
      <w:pPr>
        <w:autoSpaceDE w:val="0"/>
        <w:autoSpaceDN w:val="0"/>
        <w:adjustRightInd w:val="0"/>
        <w:ind w:left="1080"/>
        <w:contextualSpacing/>
        <w:rPr>
          <w:rFonts w:ascii="Arial" w:hAnsi="Arial" w:cs="Arial"/>
        </w:rPr>
      </w:pPr>
    </w:p>
    <w:p w14:paraId="5F426A02" w14:textId="180B6507" w:rsidR="009F37C0" w:rsidRPr="001A0706" w:rsidRDefault="009F37C0" w:rsidP="009F37C0">
      <w:pPr>
        <w:numPr>
          <w:ilvl w:val="0"/>
          <w:numId w:val="26"/>
        </w:numPr>
        <w:autoSpaceDE w:val="0"/>
        <w:autoSpaceDN w:val="0"/>
        <w:adjustRightInd w:val="0"/>
        <w:contextualSpacing/>
        <w:rPr>
          <w:rFonts w:ascii="Arial" w:hAnsi="Arial" w:cs="Arial"/>
          <w:b/>
        </w:rPr>
      </w:pPr>
      <w:r w:rsidRPr="001A0706">
        <w:rPr>
          <w:rFonts w:ascii="Arial" w:hAnsi="Arial" w:cs="Arial"/>
          <w:b/>
        </w:rPr>
        <w:t>WASH Data and Knowledge Management</w:t>
      </w:r>
      <w:r w:rsidR="00577AE7">
        <w:rPr>
          <w:rFonts w:ascii="Arial" w:hAnsi="Arial" w:cs="Arial"/>
          <w:b/>
        </w:rPr>
        <w:t xml:space="preserve">. </w:t>
      </w:r>
      <w:r w:rsidR="00577AE7" w:rsidRPr="00577AE7">
        <w:rPr>
          <w:rFonts w:ascii="Arial" w:hAnsi="Arial" w:cs="Arial"/>
        </w:rPr>
        <w:t xml:space="preserve">Support government and NGO partners in data collection and reporting through </w:t>
      </w:r>
      <w:proofErr w:type="spellStart"/>
      <w:r w:rsidR="00577AE7" w:rsidRPr="00577AE7">
        <w:rPr>
          <w:rFonts w:ascii="Arial" w:hAnsi="Arial" w:cs="Arial"/>
        </w:rPr>
        <w:t>Akvo</w:t>
      </w:r>
      <w:proofErr w:type="spellEnd"/>
      <w:r w:rsidR="00577AE7" w:rsidRPr="00577AE7">
        <w:rPr>
          <w:rFonts w:ascii="Arial" w:hAnsi="Arial" w:cs="Arial"/>
        </w:rPr>
        <w:t xml:space="preserve"> Flow and AKVO RSR</w:t>
      </w:r>
      <w:r w:rsidR="00E72300">
        <w:rPr>
          <w:rFonts w:ascii="Arial" w:hAnsi="Arial" w:cs="Arial"/>
        </w:rPr>
        <w:t xml:space="preserve"> and WASHBAT online tool</w:t>
      </w:r>
      <w:r w:rsidR="00577AE7" w:rsidRPr="00577AE7">
        <w:rPr>
          <w:rFonts w:ascii="Arial" w:hAnsi="Arial" w:cs="Arial"/>
        </w:rPr>
        <w:t>.</w:t>
      </w:r>
      <w:r w:rsidR="00577AE7">
        <w:rPr>
          <w:rFonts w:ascii="Arial" w:hAnsi="Arial" w:cs="Arial"/>
          <w:b/>
        </w:rPr>
        <w:t xml:space="preserve"> </w:t>
      </w:r>
    </w:p>
    <w:p w14:paraId="7810D67A" w14:textId="77777777" w:rsidR="00577AE7" w:rsidRDefault="00577AE7" w:rsidP="009F37C0">
      <w:pPr>
        <w:numPr>
          <w:ilvl w:val="1"/>
          <w:numId w:val="29"/>
        </w:numPr>
        <w:autoSpaceDE w:val="0"/>
        <w:autoSpaceDN w:val="0"/>
        <w:adjustRightInd w:val="0"/>
        <w:contextualSpacing/>
        <w:rPr>
          <w:rFonts w:ascii="Arial" w:hAnsi="Arial" w:cs="Arial"/>
        </w:rPr>
      </w:pPr>
      <w:r>
        <w:rPr>
          <w:rFonts w:ascii="Arial" w:hAnsi="Arial" w:cs="Arial"/>
        </w:rPr>
        <w:t xml:space="preserve">Conduct training for partners as needed to increase and maximize use of the </w:t>
      </w:r>
      <w:proofErr w:type="spellStart"/>
      <w:r>
        <w:rPr>
          <w:rFonts w:ascii="Arial" w:hAnsi="Arial" w:cs="Arial"/>
        </w:rPr>
        <w:t>Akvo</w:t>
      </w:r>
      <w:proofErr w:type="spellEnd"/>
      <w:r>
        <w:rPr>
          <w:rFonts w:ascii="Arial" w:hAnsi="Arial" w:cs="Arial"/>
        </w:rPr>
        <w:t xml:space="preserve"> platforms and other online platforms.</w:t>
      </w:r>
    </w:p>
    <w:p w14:paraId="6944B5AB" w14:textId="77777777" w:rsidR="00577AE7" w:rsidRDefault="00577AE7" w:rsidP="009F37C0">
      <w:pPr>
        <w:numPr>
          <w:ilvl w:val="1"/>
          <w:numId w:val="29"/>
        </w:numPr>
        <w:autoSpaceDE w:val="0"/>
        <w:autoSpaceDN w:val="0"/>
        <w:adjustRightInd w:val="0"/>
        <w:contextualSpacing/>
        <w:rPr>
          <w:rFonts w:ascii="Arial" w:hAnsi="Arial" w:cs="Arial"/>
        </w:rPr>
      </w:pPr>
      <w:r>
        <w:rPr>
          <w:rFonts w:ascii="Arial" w:hAnsi="Arial" w:cs="Arial"/>
        </w:rPr>
        <w:t>Assist partners with reporting and documentation (such as writing human interest stories, and other advocacy materials).</w:t>
      </w:r>
    </w:p>
    <w:p w14:paraId="58000743" w14:textId="44731515" w:rsidR="00904684" w:rsidRDefault="00904684" w:rsidP="009F37C0">
      <w:pPr>
        <w:numPr>
          <w:ilvl w:val="1"/>
          <w:numId w:val="29"/>
        </w:numPr>
        <w:autoSpaceDE w:val="0"/>
        <w:autoSpaceDN w:val="0"/>
        <w:adjustRightInd w:val="0"/>
        <w:contextualSpacing/>
        <w:rPr>
          <w:rFonts w:ascii="Arial" w:hAnsi="Arial" w:cs="Arial"/>
        </w:rPr>
      </w:pPr>
      <w:r>
        <w:rPr>
          <w:rFonts w:ascii="Arial" w:hAnsi="Arial" w:cs="Arial"/>
        </w:rPr>
        <w:t xml:space="preserve">Develop an advocacy toolkit/compendium of videos, blogs, human interest stories about WASH and related topics such as WASH in Emergencies, WASH and Gender, WASH and children with a disability, WASH and Climate Change </w:t>
      </w:r>
    </w:p>
    <w:p w14:paraId="3099F83D" w14:textId="77777777" w:rsidR="009F37C0" w:rsidRPr="001A0706" w:rsidRDefault="009F37C0" w:rsidP="009F37C0">
      <w:pPr>
        <w:autoSpaceDE w:val="0"/>
        <w:autoSpaceDN w:val="0"/>
        <w:adjustRightInd w:val="0"/>
        <w:ind w:left="1080"/>
        <w:contextualSpacing/>
        <w:rPr>
          <w:rFonts w:ascii="Arial" w:hAnsi="Arial" w:cs="Arial"/>
        </w:rPr>
      </w:pPr>
    </w:p>
    <w:p w14:paraId="1357E890" w14:textId="009BE2D8" w:rsidR="009F37C0" w:rsidRPr="00577AE7" w:rsidRDefault="009F37C0" w:rsidP="00577AE7">
      <w:pPr>
        <w:numPr>
          <w:ilvl w:val="0"/>
          <w:numId w:val="26"/>
        </w:numPr>
        <w:autoSpaceDE w:val="0"/>
        <w:autoSpaceDN w:val="0"/>
        <w:adjustRightInd w:val="0"/>
        <w:contextualSpacing/>
        <w:rPr>
          <w:rFonts w:ascii="Arial" w:hAnsi="Arial" w:cs="Arial"/>
          <w:b/>
        </w:rPr>
      </w:pPr>
      <w:r w:rsidRPr="001A0706">
        <w:rPr>
          <w:rFonts w:ascii="Arial" w:hAnsi="Arial" w:cs="Arial"/>
          <w:b/>
        </w:rPr>
        <w:t>Support Emergency preparedness and response</w:t>
      </w:r>
      <w:r w:rsidR="00577AE7">
        <w:rPr>
          <w:rFonts w:ascii="Arial" w:hAnsi="Arial" w:cs="Arial"/>
          <w:b/>
        </w:rPr>
        <w:t xml:space="preserve">. </w:t>
      </w:r>
      <w:r w:rsidR="00577AE7">
        <w:rPr>
          <w:rFonts w:ascii="Arial" w:hAnsi="Arial" w:cs="Arial"/>
        </w:rPr>
        <w:t xml:space="preserve">In the event of an emergency, </w:t>
      </w:r>
    </w:p>
    <w:p w14:paraId="2E8192DD" w14:textId="617E7E0F" w:rsidR="009F37C0" w:rsidRDefault="009F37C0" w:rsidP="009F37C0">
      <w:pPr>
        <w:autoSpaceDE w:val="0"/>
        <w:autoSpaceDN w:val="0"/>
        <w:adjustRightInd w:val="0"/>
        <w:ind w:left="1080" w:hanging="371"/>
        <w:contextualSpacing/>
        <w:rPr>
          <w:rFonts w:ascii="Arial" w:hAnsi="Arial" w:cs="Arial"/>
        </w:rPr>
      </w:pPr>
      <w:r w:rsidRPr="001A0706">
        <w:rPr>
          <w:rFonts w:ascii="Arial" w:hAnsi="Arial" w:cs="Arial"/>
        </w:rPr>
        <w:t xml:space="preserve">4.1 Assist </w:t>
      </w:r>
      <w:r w:rsidR="00577AE7">
        <w:rPr>
          <w:rFonts w:ascii="Arial" w:hAnsi="Arial" w:cs="Arial"/>
        </w:rPr>
        <w:t xml:space="preserve">the Technical Working Group </w:t>
      </w:r>
      <w:r w:rsidRPr="001A0706">
        <w:rPr>
          <w:rFonts w:ascii="Arial" w:hAnsi="Arial" w:cs="Arial"/>
        </w:rPr>
        <w:t xml:space="preserve">in the development of </w:t>
      </w:r>
      <w:r w:rsidR="00577AE7">
        <w:rPr>
          <w:rFonts w:ascii="Arial" w:hAnsi="Arial" w:cs="Arial"/>
        </w:rPr>
        <w:t>Education and WASH preparedness documents</w:t>
      </w:r>
      <w:r w:rsidRPr="001A0706">
        <w:rPr>
          <w:rFonts w:ascii="Arial" w:hAnsi="Arial" w:cs="Arial"/>
        </w:rPr>
        <w:t xml:space="preserve">, including contingency plans, 4W matrix, maps, assessment forms, standards, </w:t>
      </w:r>
      <w:proofErr w:type="spellStart"/>
      <w:r w:rsidRPr="001A0706">
        <w:rPr>
          <w:rFonts w:ascii="Arial" w:hAnsi="Arial" w:cs="Arial"/>
        </w:rPr>
        <w:t>stocklist</w:t>
      </w:r>
      <w:proofErr w:type="spellEnd"/>
      <w:r w:rsidRPr="001A0706">
        <w:rPr>
          <w:rFonts w:ascii="Arial" w:hAnsi="Arial" w:cs="Arial"/>
        </w:rPr>
        <w:t xml:space="preserve"> and partner mapping.</w:t>
      </w:r>
    </w:p>
    <w:p w14:paraId="2772D0A7" w14:textId="7ABB5F6C" w:rsidR="00392C81" w:rsidRPr="001A0706" w:rsidRDefault="00392C81" w:rsidP="009F37C0">
      <w:pPr>
        <w:autoSpaceDE w:val="0"/>
        <w:autoSpaceDN w:val="0"/>
        <w:adjustRightInd w:val="0"/>
        <w:ind w:left="1080" w:hanging="371"/>
        <w:contextualSpacing/>
        <w:rPr>
          <w:rFonts w:ascii="Arial" w:hAnsi="Arial" w:cs="Arial"/>
        </w:rPr>
      </w:pPr>
      <w:proofErr w:type="gramStart"/>
      <w:r>
        <w:rPr>
          <w:rFonts w:ascii="Arial" w:hAnsi="Arial" w:cs="Arial"/>
        </w:rPr>
        <w:t>4.2  In</w:t>
      </w:r>
      <w:proofErr w:type="gramEnd"/>
      <w:r>
        <w:rPr>
          <w:rFonts w:ascii="Arial" w:hAnsi="Arial" w:cs="Arial"/>
        </w:rPr>
        <w:t xml:space="preserve"> the event of an emergency, to coordinate and work with </w:t>
      </w:r>
      <w:proofErr w:type="spellStart"/>
      <w:r>
        <w:rPr>
          <w:rFonts w:ascii="Arial" w:hAnsi="Arial" w:cs="Arial"/>
        </w:rPr>
        <w:t>MoE</w:t>
      </w:r>
      <w:proofErr w:type="spellEnd"/>
      <w:r>
        <w:rPr>
          <w:rFonts w:ascii="Arial" w:hAnsi="Arial" w:cs="Arial"/>
        </w:rPr>
        <w:t xml:space="preserve"> and the sector to plan and distribute WASH kits to schools and any other emergency support needed.</w:t>
      </w:r>
    </w:p>
    <w:p w14:paraId="3BEBE4C1" w14:textId="77777777" w:rsidR="009F37C0" w:rsidRPr="001A0706" w:rsidRDefault="009F37C0" w:rsidP="009F37C0">
      <w:pPr>
        <w:numPr>
          <w:ilvl w:val="0"/>
          <w:numId w:val="30"/>
        </w:numPr>
        <w:autoSpaceDE w:val="0"/>
        <w:autoSpaceDN w:val="0"/>
        <w:adjustRightInd w:val="0"/>
        <w:contextualSpacing/>
        <w:rPr>
          <w:rFonts w:ascii="Arial" w:hAnsi="Arial" w:cs="Arial"/>
          <w:vanish/>
        </w:rPr>
      </w:pPr>
    </w:p>
    <w:p w14:paraId="63B389FE" w14:textId="77777777" w:rsidR="009F37C0" w:rsidRPr="001A0706" w:rsidRDefault="009F37C0" w:rsidP="009F37C0">
      <w:pPr>
        <w:numPr>
          <w:ilvl w:val="0"/>
          <w:numId w:val="30"/>
        </w:numPr>
        <w:autoSpaceDE w:val="0"/>
        <w:autoSpaceDN w:val="0"/>
        <w:adjustRightInd w:val="0"/>
        <w:contextualSpacing/>
        <w:rPr>
          <w:rFonts w:ascii="Arial" w:hAnsi="Arial" w:cs="Arial"/>
          <w:vanish/>
        </w:rPr>
      </w:pPr>
    </w:p>
    <w:p w14:paraId="79C1B2DB" w14:textId="77777777" w:rsidR="009F37C0" w:rsidRPr="001A0706" w:rsidRDefault="009F37C0" w:rsidP="009F37C0">
      <w:pPr>
        <w:numPr>
          <w:ilvl w:val="1"/>
          <w:numId w:val="30"/>
        </w:numPr>
        <w:autoSpaceDE w:val="0"/>
        <w:autoSpaceDN w:val="0"/>
        <w:adjustRightInd w:val="0"/>
        <w:contextualSpacing/>
        <w:rPr>
          <w:rFonts w:ascii="Arial" w:hAnsi="Arial" w:cs="Arial"/>
          <w:vanish/>
        </w:rPr>
      </w:pPr>
    </w:p>
    <w:p w14:paraId="2E93222E" w14:textId="77777777" w:rsidR="009F37C0" w:rsidRPr="00DF762E" w:rsidRDefault="009F37C0" w:rsidP="009F37C0">
      <w:pPr>
        <w:pBdr>
          <w:bottom w:val="single" w:sz="4" w:space="1" w:color="auto"/>
        </w:pBdr>
        <w:jc w:val="both"/>
        <w:rPr>
          <w:rFonts w:ascii="Arial" w:hAnsi="Arial" w:cs="Arial"/>
          <w:b/>
        </w:rPr>
      </w:pPr>
    </w:p>
    <w:p w14:paraId="5D92F94E" w14:textId="77777777" w:rsidR="009F37C0" w:rsidRPr="00DF762E" w:rsidRDefault="009F37C0" w:rsidP="009F37C0">
      <w:pPr>
        <w:jc w:val="both"/>
        <w:rPr>
          <w:rFonts w:ascii="Arial" w:hAnsi="Arial" w:cs="Arial"/>
        </w:rPr>
      </w:pPr>
      <w:r w:rsidRPr="00DF762E">
        <w:rPr>
          <w:rFonts w:ascii="Arial" w:hAnsi="Arial" w:cs="Arial"/>
          <w:b/>
        </w:rPr>
        <w:t xml:space="preserve">Work Schedule: </w:t>
      </w:r>
    </w:p>
    <w:p w14:paraId="6A7300D2" w14:textId="435769AB" w:rsidR="009F37C0" w:rsidRDefault="009F37C0" w:rsidP="009F37C0">
      <w:pPr>
        <w:rPr>
          <w:rFonts w:ascii="Arial" w:hAnsi="Arial" w:cs="Arial"/>
        </w:rPr>
      </w:pPr>
      <w:r w:rsidRPr="001A0706">
        <w:rPr>
          <w:rFonts w:ascii="Arial" w:hAnsi="Arial" w:cs="Arial"/>
        </w:rPr>
        <w:t xml:space="preserve">The duration of the contract </w:t>
      </w:r>
      <w:r w:rsidR="00904684">
        <w:rPr>
          <w:rFonts w:ascii="Arial" w:hAnsi="Arial" w:cs="Arial"/>
        </w:rPr>
        <w:t>will be</w:t>
      </w:r>
      <w:r w:rsidRPr="001A0706">
        <w:rPr>
          <w:rFonts w:ascii="Arial" w:hAnsi="Arial" w:cs="Arial"/>
        </w:rPr>
        <w:t xml:space="preserve"> </w:t>
      </w:r>
      <w:r w:rsidR="00C22307">
        <w:rPr>
          <w:rFonts w:ascii="Arial" w:hAnsi="Arial" w:cs="Arial"/>
        </w:rPr>
        <w:t xml:space="preserve">for 8 months </w:t>
      </w:r>
      <w:r w:rsidRPr="001A0706">
        <w:rPr>
          <w:rFonts w:ascii="Arial" w:hAnsi="Arial" w:cs="Arial"/>
        </w:rPr>
        <w:t xml:space="preserve">from </w:t>
      </w:r>
      <w:r w:rsidR="00C22307">
        <w:rPr>
          <w:rFonts w:ascii="Arial" w:hAnsi="Arial" w:cs="Arial"/>
        </w:rPr>
        <w:t>December 1</w:t>
      </w:r>
      <w:r w:rsidRPr="001A0706">
        <w:rPr>
          <w:rFonts w:ascii="Arial" w:hAnsi="Arial" w:cs="Arial"/>
        </w:rPr>
        <w:t xml:space="preserve"> </w:t>
      </w:r>
      <w:r w:rsidR="00C22307">
        <w:rPr>
          <w:rFonts w:ascii="Arial" w:hAnsi="Arial" w:cs="Arial"/>
        </w:rPr>
        <w:t>2016</w:t>
      </w:r>
      <w:r w:rsidRPr="001A0706">
        <w:rPr>
          <w:rFonts w:ascii="Arial" w:hAnsi="Arial" w:cs="Arial"/>
        </w:rPr>
        <w:t>–</w:t>
      </w:r>
      <w:r w:rsidR="00577AE7">
        <w:rPr>
          <w:rFonts w:ascii="Arial" w:hAnsi="Arial" w:cs="Arial"/>
        </w:rPr>
        <w:t xml:space="preserve"> </w:t>
      </w:r>
      <w:r w:rsidR="00C22307">
        <w:rPr>
          <w:rFonts w:ascii="Arial" w:hAnsi="Arial" w:cs="Arial"/>
        </w:rPr>
        <w:t>July 30</w:t>
      </w:r>
      <w:r w:rsidR="00577AE7">
        <w:rPr>
          <w:rFonts w:ascii="Arial" w:hAnsi="Arial" w:cs="Arial"/>
        </w:rPr>
        <w:t xml:space="preserve"> </w:t>
      </w:r>
      <w:r w:rsidRPr="001A0706">
        <w:rPr>
          <w:rFonts w:ascii="Arial" w:hAnsi="Arial" w:cs="Arial"/>
        </w:rPr>
        <w:t>2017. The consultant is expected to work on a full-time basis and may negotiate up to 1 month (4 weeks) of absence without pay.</w:t>
      </w:r>
    </w:p>
    <w:p w14:paraId="58F3702C" w14:textId="77777777" w:rsidR="009F37C0" w:rsidRPr="00DF762E" w:rsidRDefault="009F37C0" w:rsidP="009F37C0">
      <w:pPr>
        <w:pBdr>
          <w:bottom w:val="single" w:sz="4" w:space="1" w:color="auto"/>
        </w:pBdr>
        <w:rPr>
          <w:rFonts w:ascii="Arial" w:hAnsi="Arial" w:cs="Arial"/>
        </w:rPr>
      </w:pPr>
    </w:p>
    <w:p w14:paraId="0E2339CE" w14:textId="77777777" w:rsidR="009F37C0" w:rsidRPr="00DF762E" w:rsidRDefault="009F37C0" w:rsidP="009F37C0">
      <w:pPr>
        <w:rPr>
          <w:rFonts w:ascii="Arial" w:hAnsi="Arial" w:cs="Arial"/>
          <w:b/>
        </w:rPr>
      </w:pPr>
      <w:r w:rsidRPr="00DF762E">
        <w:rPr>
          <w:rFonts w:ascii="Arial" w:hAnsi="Arial" w:cs="Arial"/>
          <w:b/>
        </w:rPr>
        <w:t>Payment Schedule</w:t>
      </w:r>
    </w:p>
    <w:p w14:paraId="786D43F0" w14:textId="77777777" w:rsidR="009F37C0" w:rsidRPr="00DF762E" w:rsidRDefault="009F37C0" w:rsidP="009F37C0">
      <w:pPr>
        <w:rPr>
          <w:rFonts w:ascii="Arial" w:hAnsi="Arial" w:cs="Arial"/>
          <w:b/>
        </w:rPr>
      </w:pPr>
      <w:r w:rsidRPr="001A0706">
        <w:rPr>
          <w:rFonts w:ascii="Arial" w:hAnsi="Arial" w:cs="Arial"/>
        </w:rPr>
        <w:t xml:space="preserve">Payments will be done in accordance with submission of deliverables, certified by the supervisor. </w:t>
      </w:r>
    </w:p>
    <w:p w14:paraId="12D43F8F" w14:textId="77777777" w:rsidR="009F37C0" w:rsidRPr="00DF762E" w:rsidRDefault="009F37C0" w:rsidP="009F37C0">
      <w:pPr>
        <w:pBdr>
          <w:bottom w:val="single" w:sz="4" w:space="1" w:color="auto"/>
        </w:pBdr>
        <w:rPr>
          <w:rFonts w:ascii="Arial" w:hAnsi="Arial" w:cs="Arial"/>
          <w:b/>
        </w:rPr>
      </w:pPr>
    </w:p>
    <w:p w14:paraId="7396FDAE" w14:textId="77777777" w:rsidR="009F37C0" w:rsidRPr="00DF762E" w:rsidRDefault="009F37C0" w:rsidP="009F37C0">
      <w:pPr>
        <w:rPr>
          <w:rFonts w:ascii="Arial" w:hAnsi="Arial" w:cs="Arial"/>
          <w:b/>
        </w:rPr>
      </w:pPr>
      <w:r w:rsidRPr="00DF762E">
        <w:rPr>
          <w:rFonts w:ascii="Arial" w:hAnsi="Arial" w:cs="Arial"/>
          <w:b/>
        </w:rPr>
        <w:t>Deliverables/End Products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1"/>
        <w:gridCol w:w="1151"/>
        <w:gridCol w:w="1151"/>
      </w:tblGrid>
      <w:tr w:rsidR="009F37C0" w:rsidRPr="001A0706" w14:paraId="68FB267A" w14:textId="77777777" w:rsidTr="009236D4">
        <w:tc>
          <w:tcPr>
            <w:tcW w:w="3876" w:type="pct"/>
            <w:shd w:val="clear" w:color="auto" w:fill="D0CECE"/>
          </w:tcPr>
          <w:p w14:paraId="028EE6EA" w14:textId="77777777" w:rsidR="009F37C0" w:rsidRPr="001A0706" w:rsidRDefault="009F37C0" w:rsidP="009236D4">
            <w:pPr>
              <w:jc w:val="both"/>
              <w:rPr>
                <w:rFonts w:ascii="Arial" w:hAnsi="Arial" w:cs="Arial"/>
                <w:b/>
              </w:rPr>
            </w:pPr>
            <w:r w:rsidRPr="001A0706">
              <w:rPr>
                <w:rFonts w:ascii="Arial" w:hAnsi="Arial" w:cs="Arial"/>
                <w:b/>
              </w:rPr>
              <w:t>Deliverable</w:t>
            </w:r>
          </w:p>
        </w:tc>
        <w:tc>
          <w:tcPr>
            <w:tcW w:w="562" w:type="pct"/>
            <w:shd w:val="clear" w:color="auto" w:fill="D0CECE"/>
          </w:tcPr>
          <w:p w14:paraId="3F3D454C" w14:textId="77777777" w:rsidR="009F37C0" w:rsidRPr="001A0706" w:rsidRDefault="009F37C0" w:rsidP="009236D4">
            <w:pPr>
              <w:jc w:val="both"/>
              <w:rPr>
                <w:rFonts w:ascii="Arial" w:hAnsi="Arial" w:cs="Arial"/>
                <w:b/>
              </w:rPr>
            </w:pPr>
            <w:r w:rsidRPr="001A0706">
              <w:rPr>
                <w:rFonts w:ascii="Arial" w:hAnsi="Arial" w:cs="Arial"/>
                <w:b/>
              </w:rPr>
              <w:t xml:space="preserve">Expected duration </w:t>
            </w:r>
          </w:p>
        </w:tc>
        <w:tc>
          <w:tcPr>
            <w:tcW w:w="562" w:type="pct"/>
            <w:shd w:val="clear" w:color="auto" w:fill="D0CECE"/>
          </w:tcPr>
          <w:p w14:paraId="2C98477C" w14:textId="77777777" w:rsidR="009F37C0" w:rsidRPr="001A0706" w:rsidRDefault="009F37C0" w:rsidP="009236D4">
            <w:pPr>
              <w:jc w:val="both"/>
              <w:rPr>
                <w:rFonts w:ascii="Arial" w:hAnsi="Arial" w:cs="Arial"/>
                <w:b/>
              </w:rPr>
            </w:pPr>
            <w:r>
              <w:rPr>
                <w:rFonts w:ascii="Arial" w:hAnsi="Arial" w:cs="Arial"/>
                <w:b/>
              </w:rPr>
              <w:t>Payment</w:t>
            </w:r>
          </w:p>
        </w:tc>
      </w:tr>
      <w:tr w:rsidR="009F37C0" w:rsidRPr="001A0706" w14:paraId="2C329085" w14:textId="77777777" w:rsidTr="009236D4">
        <w:tc>
          <w:tcPr>
            <w:tcW w:w="4438" w:type="pct"/>
            <w:gridSpan w:val="2"/>
            <w:tcBorders>
              <w:bottom w:val="single" w:sz="4" w:space="0" w:color="auto"/>
            </w:tcBorders>
            <w:shd w:val="clear" w:color="auto" w:fill="auto"/>
          </w:tcPr>
          <w:p w14:paraId="06000CA3" w14:textId="77777777" w:rsidR="009F37C0" w:rsidRPr="001A0706" w:rsidRDefault="009F37C0" w:rsidP="009236D4">
            <w:pPr>
              <w:jc w:val="both"/>
              <w:rPr>
                <w:rFonts w:ascii="Arial" w:hAnsi="Arial" w:cs="Arial"/>
                <w:b/>
                <w:lang w:val="en-NZ"/>
              </w:rPr>
            </w:pPr>
            <w:r w:rsidRPr="001A0706">
              <w:rPr>
                <w:rFonts w:ascii="Arial" w:hAnsi="Arial" w:cs="Arial"/>
                <w:b/>
                <w:lang w:val="en-NZ"/>
              </w:rPr>
              <w:t>WASH in Schools</w:t>
            </w:r>
          </w:p>
        </w:tc>
        <w:tc>
          <w:tcPr>
            <w:tcW w:w="562" w:type="pct"/>
            <w:tcBorders>
              <w:bottom w:val="single" w:sz="4" w:space="0" w:color="auto"/>
            </w:tcBorders>
          </w:tcPr>
          <w:p w14:paraId="4AF1756C" w14:textId="77777777" w:rsidR="009F37C0" w:rsidRPr="001A0706" w:rsidRDefault="009F37C0" w:rsidP="009236D4">
            <w:pPr>
              <w:jc w:val="both"/>
              <w:rPr>
                <w:rFonts w:ascii="Arial" w:hAnsi="Arial" w:cs="Arial"/>
                <w:b/>
                <w:lang w:val="en-NZ"/>
              </w:rPr>
            </w:pPr>
            <w:r>
              <w:rPr>
                <w:rFonts w:ascii="Arial" w:hAnsi="Arial" w:cs="Arial"/>
                <w:b/>
                <w:lang w:val="en-NZ"/>
              </w:rPr>
              <w:t>40%</w:t>
            </w:r>
          </w:p>
        </w:tc>
      </w:tr>
      <w:tr w:rsidR="009F37C0" w:rsidRPr="001A0706" w14:paraId="590D06F1" w14:textId="77777777" w:rsidTr="009236D4">
        <w:tc>
          <w:tcPr>
            <w:tcW w:w="3876" w:type="pct"/>
            <w:tcBorders>
              <w:top w:val="single" w:sz="4" w:space="0" w:color="auto"/>
              <w:left w:val="single" w:sz="4" w:space="0" w:color="auto"/>
              <w:bottom w:val="nil"/>
              <w:right w:val="nil"/>
            </w:tcBorders>
            <w:shd w:val="clear" w:color="auto" w:fill="auto"/>
          </w:tcPr>
          <w:p w14:paraId="2ADF0174" w14:textId="00875854" w:rsidR="009F37C0" w:rsidRPr="001A0706" w:rsidRDefault="00C22307" w:rsidP="009F37C0">
            <w:pPr>
              <w:numPr>
                <w:ilvl w:val="0"/>
                <w:numId w:val="31"/>
              </w:numPr>
              <w:contextualSpacing/>
              <w:jc w:val="both"/>
              <w:rPr>
                <w:rFonts w:ascii="Arial" w:hAnsi="Arial" w:cs="Arial"/>
                <w:lang w:val="en-NZ"/>
              </w:rPr>
            </w:pPr>
            <w:r>
              <w:rPr>
                <w:rFonts w:ascii="Arial" w:hAnsi="Arial" w:cs="Arial"/>
                <w:lang w:val="en-NZ"/>
              </w:rPr>
              <w:t>Baseline and Bottleneck assessment</w:t>
            </w:r>
            <w:r w:rsidR="00E72300">
              <w:rPr>
                <w:rFonts w:ascii="Arial" w:hAnsi="Arial" w:cs="Arial"/>
                <w:lang w:val="en-NZ"/>
              </w:rPr>
              <w:t xml:space="preserve"> report </w:t>
            </w:r>
          </w:p>
        </w:tc>
        <w:tc>
          <w:tcPr>
            <w:tcW w:w="562" w:type="pct"/>
            <w:tcBorders>
              <w:top w:val="single" w:sz="4" w:space="0" w:color="auto"/>
              <w:left w:val="nil"/>
              <w:bottom w:val="nil"/>
              <w:right w:val="single" w:sz="4" w:space="0" w:color="auto"/>
            </w:tcBorders>
            <w:shd w:val="clear" w:color="auto" w:fill="auto"/>
          </w:tcPr>
          <w:p w14:paraId="48478F63" w14:textId="0BD91140" w:rsidR="009F37C0" w:rsidRPr="001A0706" w:rsidRDefault="009F37C0" w:rsidP="009236D4">
            <w:pPr>
              <w:rPr>
                <w:rFonts w:ascii="Arial" w:hAnsi="Arial" w:cs="Arial"/>
              </w:rPr>
            </w:pPr>
          </w:p>
        </w:tc>
        <w:tc>
          <w:tcPr>
            <w:tcW w:w="562" w:type="pct"/>
            <w:tcBorders>
              <w:top w:val="single" w:sz="4" w:space="0" w:color="auto"/>
              <w:left w:val="nil"/>
              <w:bottom w:val="nil"/>
              <w:right w:val="single" w:sz="4" w:space="0" w:color="auto"/>
            </w:tcBorders>
          </w:tcPr>
          <w:p w14:paraId="7C54B768" w14:textId="77777777" w:rsidR="009F37C0" w:rsidRPr="001A0706" w:rsidRDefault="009F37C0" w:rsidP="009236D4">
            <w:pPr>
              <w:rPr>
                <w:rFonts w:ascii="Arial" w:hAnsi="Arial" w:cs="Arial"/>
              </w:rPr>
            </w:pPr>
          </w:p>
        </w:tc>
      </w:tr>
      <w:tr w:rsidR="009F37C0" w:rsidRPr="001A0706" w14:paraId="5E702530" w14:textId="77777777" w:rsidTr="009236D4">
        <w:tc>
          <w:tcPr>
            <w:tcW w:w="3876" w:type="pct"/>
            <w:tcBorders>
              <w:top w:val="nil"/>
              <w:left w:val="single" w:sz="4" w:space="0" w:color="auto"/>
              <w:bottom w:val="nil"/>
              <w:right w:val="nil"/>
            </w:tcBorders>
            <w:shd w:val="clear" w:color="auto" w:fill="auto"/>
          </w:tcPr>
          <w:p w14:paraId="63D0369F" w14:textId="16189F12" w:rsidR="009F37C0" w:rsidRPr="001A0706" w:rsidRDefault="00C22307" w:rsidP="009F37C0">
            <w:pPr>
              <w:numPr>
                <w:ilvl w:val="0"/>
                <w:numId w:val="31"/>
              </w:numPr>
              <w:contextualSpacing/>
              <w:jc w:val="both"/>
              <w:rPr>
                <w:rFonts w:ascii="Arial" w:hAnsi="Arial" w:cs="Arial"/>
                <w:lang w:val="en-NZ"/>
              </w:rPr>
            </w:pPr>
            <w:r>
              <w:rPr>
                <w:rFonts w:ascii="Arial" w:hAnsi="Arial" w:cs="Arial"/>
                <w:lang w:val="en-NZ"/>
              </w:rPr>
              <w:t xml:space="preserve">Contract Management with WASH in Schools partners on Three Star Programme </w:t>
            </w:r>
          </w:p>
        </w:tc>
        <w:tc>
          <w:tcPr>
            <w:tcW w:w="562" w:type="pct"/>
            <w:tcBorders>
              <w:top w:val="nil"/>
              <w:left w:val="nil"/>
              <w:bottom w:val="nil"/>
              <w:right w:val="single" w:sz="4" w:space="0" w:color="auto"/>
            </w:tcBorders>
            <w:shd w:val="clear" w:color="auto" w:fill="auto"/>
          </w:tcPr>
          <w:p w14:paraId="45CC6141" w14:textId="21778870" w:rsidR="009F37C0" w:rsidRPr="001A0706" w:rsidRDefault="009F37C0" w:rsidP="009236D4">
            <w:pPr>
              <w:rPr>
                <w:rFonts w:ascii="Arial" w:hAnsi="Arial" w:cs="Arial"/>
              </w:rPr>
            </w:pPr>
          </w:p>
        </w:tc>
        <w:tc>
          <w:tcPr>
            <w:tcW w:w="562" w:type="pct"/>
            <w:tcBorders>
              <w:top w:val="nil"/>
              <w:left w:val="nil"/>
              <w:bottom w:val="nil"/>
              <w:right w:val="single" w:sz="4" w:space="0" w:color="auto"/>
            </w:tcBorders>
          </w:tcPr>
          <w:p w14:paraId="4CBBDF3E" w14:textId="77777777" w:rsidR="009F37C0" w:rsidRPr="001A0706" w:rsidRDefault="009F37C0" w:rsidP="009236D4">
            <w:pPr>
              <w:rPr>
                <w:rFonts w:ascii="Arial" w:hAnsi="Arial" w:cs="Arial"/>
              </w:rPr>
            </w:pPr>
          </w:p>
        </w:tc>
      </w:tr>
      <w:tr w:rsidR="009F37C0" w:rsidRPr="001A0706" w14:paraId="6BA276FF" w14:textId="77777777" w:rsidTr="009236D4">
        <w:tc>
          <w:tcPr>
            <w:tcW w:w="3876" w:type="pct"/>
            <w:tcBorders>
              <w:top w:val="nil"/>
              <w:left w:val="single" w:sz="4" w:space="0" w:color="auto"/>
              <w:bottom w:val="nil"/>
              <w:right w:val="nil"/>
            </w:tcBorders>
            <w:shd w:val="clear" w:color="auto" w:fill="auto"/>
          </w:tcPr>
          <w:p w14:paraId="0F4F9036" w14:textId="288D647C" w:rsidR="009F37C0" w:rsidRPr="001A0706" w:rsidRDefault="00D60AB2" w:rsidP="00E72300">
            <w:pPr>
              <w:numPr>
                <w:ilvl w:val="0"/>
                <w:numId w:val="31"/>
              </w:numPr>
              <w:contextualSpacing/>
              <w:jc w:val="both"/>
              <w:rPr>
                <w:rFonts w:ascii="Arial" w:hAnsi="Arial" w:cs="Arial"/>
                <w:lang w:val="en-NZ"/>
              </w:rPr>
            </w:pPr>
            <w:r>
              <w:rPr>
                <w:rFonts w:ascii="Arial" w:hAnsi="Arial" w:cs="Arial"/>
              </w:rPr>
              <w:t xml:space="preserve">Support to </w:t>
            </w:r>
            <w:r w:rsidR="00E72300">
              <w:rPr>
                <w:rFonts w:ascii="Arial" w:hAnsi="Arial" w:cs="Arial"/>
              </w:rPr>
              <w:t xml:space="preserve">at least 3 </w:t>
            </w:r>
            <w:r>
              <w:rPr>
                <w:rFonts w:ascii="Arial" w:hAnsi="Arial" w:cs="Arial"/>
              </w:rPr>
              <w:t xml:space="preserve">partners on </w:t>
            </w:r>
            <w:r w:rsidR="00E72300">
              <w:rPr>
                <w:rFonts w:ascii="Arial" w:hAnsi="Arial" w:cs="Arial"/>
              </w:rPr>
              <w:t xml:space="preserve">completing certification course on WASH in Schools by </w:t>
            </w:r>
            <w:r>
              <w:rPr>
                <w:rFonts w:ascii="Arial" w:hAnsi="Arial" w:cs="Arial"/>
              </w:rPr>
              <w:t>Emory</w:t>
            </w:r>
            <w:r w:rsidR="00E72300">
              <w:rPr>
                <w:rFonts w:ascii="Arial" w:hAnsi="Arial" w:cs="Arial"/>
              </w:rPr>
              <w:t xml:space="preserve"> University</w:t>
            </w:r>
          </w:p>
        </w:tc>
        <w:tc>
          <w:tcPr>
            <w:tcW w:w="562" w:type="pct"/>
            <w:tcBorders>
              <w:top w:val="nil"/>
              <w:left w:val="nil"/>
              <w:bottom w:val="nil"/>
              <w:right w:val="single" w:sz="4" w:space="0" w:color="auto"/>
            </w:tcBorders>
            <w:shd w:val="clear" w:color="auto" w:fill="auto"/>
          </w:tcPr>
          <w:p w14:paraId="7A5C1F10" w14:textId="01B9EF68" w:rsidR="009F37C0" w:rsidRPr="001A0706" w:rsidRDefault="009F37C0" w:rsidP="009236D4">
            <w:pPr>
              <w:rPr>
                <w:rFonts w:ascii="Arial" w:hAnsi="Arial" w:cs="Arial"/>
              </w:rPr>
            </w:pPr>
          </w:p>
        </w:tc>
        <w:tc>
          <w:tcPr>
            <w:tcW w:w="562" w:type="pct"/>
            <w:tcBorders>
              <w:top w:val="nil"/>
              <w:left w:val="nil"/>
              <w:bottom w:val="nil"/>
              <w:right w:val="single" w:sz="4" w:space="0" w:color="auto"/>
            </w:tcBorders>
          </w:tcPr>
          <w:p w14:paraId="3B209289" w14:textId="77777777" w:rsidR="009F37C0" w:rsidRPr="001A0706" w:rsidRDefault="009F37C0" w:rsidP="009236D4">
            <w:pPr>
              <w:rPr>
                <w:rFonts w:ascii="Arial" w:hAnsi="Arial" w:cs="Arial"/>
              </w:rPr>
            </w:pPr>
          </w:p>
        </w:tc>
      </w:tr>
      <w:tr w:rsidR="009F37C0" w:rsidRPr="001A0706" w14:paraId="06C6A0EE" w14:textId="77777777" w:rsidTr="009236D4">
        <w:tc>
          <w:tcPr>
            <w:tcW w:w="3876" w:type="pct"/>
            <w:tcBorders>
              <w:top w:val="nil"/>
              <w:left w:val="single" w:sz="4" w:space="0" w:color="auto"/>
              <w:bottom w:val="single" w:sz="4" w:space="0" w:color="auto"/>
              <w:right w:val="nil"/>
            </w:tcBorders>
            <w:shd w:val="clear" w:color="auto" w:fill="auto"/>
          </w:tcPr>
          <w:p w14:paraId="77770458" w14:textId="2BEE9C3B" w:rsidR="009F37C0" w:rsidRDefault="00E72300" w:rsidP="009F37C0">
            <w:pPr>
              <w:numPr>
                <w:ilvl w:val="0"/>
                <w:numId w:val="31"/>
              </w:numPr>
              <w:contextualSpacing/>
              <w:jc w:val="both"/>
              <w:rPr>
                <w:rFonts w:ascii="Arial" w:hAnsi="Arial" w:cs="Arial"/>
                <w:lang w:val="en-NZ"/>
              </w:rPr>
            </w:pPr>
            <w:r>
              <w:rPr>
                <w:rFonts w:ascii="Arial" w:hAnsi="Arial" w:cs="Arial"/>
                <w:lang w:val="en-NZ"/>
              </w:rPr>
              <w:t xml:space="preserve">Capacity training for local partners and government partners on WASH in Schools, documentation, monitoring and reporting </w:t>
            </w:r>
          </w:p>
          <w:p w14:paraId="52BBFDAF" w14:textId="7BEC4B70" w:rsidR="00E72300" w:rsidRPr="001A0706" w:rsidRDefault="00E72300" w:rsidP="009F37C0">
            <w:pPr>
              <w:numPr>
                <w:ilvl w:val="0"/>
                <w:numId w:val="31"/>
              </w:numPr>
              <w:contextualSpacing/>
              <w:jc w:val="both"/>
              <w:rPr>
                <w:rFonts w:ascii="Arial" w:hAnsi="Arial" w:cs="Arial"/>
                <w:lang w:val="en-NZ"/>
              </w:rPr>
            </w:pPr>
            <w:r>
              <w:rPr>
                <w:rFonts w:ascii="Arial" w:hAnsi="Arial" w:cs="Arial"/>
                <w:lang w:val="en-NZ"/>
              </w:rPr>
              <w:t xml:space="preserve">Programmatic visits </w:t>
            </w:r>
          </w:p>
        </w:tc>
        <w:tc>
          <w:tcPr>
            <w:tcW w:w="562" w:type="pct"/>
            <w:tcBorders>
              <w:top w:val="nil"/>
              <w:left w:val="nil"/>
              <w:bottom w:val="single" w:sz="4" w:space="0" w:color="auto"/>
              <w:right w:val="single" w:sz="4" w:space="0" w:color="auto"/>
            </w:tcBorders>
            <w:shd w:val="clear" w:color="auto" w:fill="auto"/>
          </w:tcPr>
          <w:p w14:paraId="110015E4" w14:textId="55221D88" w:rsidR="009F37C0" w:rsidRPr="001A0706" w:rsidRDefault="009F37C0" w:rsidP="009236D4">
            <w:pPr>
              <w:rPr>
                <w:rFonts w:ascii="Arial" w:hAnsi="Arial" w:cs="Arial"/>
              </w:rPr>
            </w:pPr>
          </w:p>
        </w:tc>
        <w:tc>
          <w:tcPr>
            <w:tcW w:w="562" w:type="pct"/>
            <w:tcBorders>
              <w:top w:val="nil"/>
              <w:left w:val="nil"/>
              <w:bottom w:val="single" w:sz="4" w:space="0" w:color="auto"/>
              <w:right w:val="single" w:sz="4" w:space="0" w:color="auto"/>
            </w:tcBorders>
          </w:tcPr>
          <w:p w14:paraId="4B549435" w14:textId="77777777" w:rsidR="009F37C0" w:rsidRPr="001A0706" w:rsidRDefault="009F37C0" w:rsidP="009236D4">
            <w:pPr>
              <w:rPr>
                <w:rFonts w:ascii="Arial" w:hAnsi="Arial" w:cs="Arial"/>
              </w:rPr>
            </w:pPr>
          </w:p>
        </w:tc>
      </w:tr>
      <w:tr w:rsidR="009F37C0" w:rsidRPr="001A0706" w14:paraId="39935754" w14:textId="77777777" w:rsidTr="009236D4">
        <w:tc>
          <w:tcPr>
            <w:tcW w:w="4438" w:type="pct"/>
            <w:gridSpan w:val="2"/>
            <w:tcBorders>
              <w:top w:val="single" w:sz="4" w:space="0" w:color="auto"/>
              <w:bottom w:val="single" w:sz="4" w:space="0" w:color="auto"/>
            </w:tcBorders>
            <w:shd w:val="clear" w:color="auto" w:fill="auto"/>
          </w:tcPr>
          <w:p w14:paraId="0D187E9D" w14:textId="77777777" w:rsidR="009F37C0" w:rsidRPr="001A0706" w:rsidRDefault="009F37C0" w:rsidP="009236D4">
            <w:pPr>
              <w:rPr>
                <w:rFonts w:ascii="Arial" w:hAnsi="Arial" w:cs="Arial"/>
                <w:b/>
              </w:rPr>
            </w:pPr>
            <w:r w:rsidRPr="001A0706">
              <w:rPr>
                <w:rFonts w:ascii="Arial" w:hAnsi="Arial" w:cs="Arial"/>
                <w:b/>
                <w:lang w:val="en-NZ"/>
              </w:rPr>
              <w:t>WASH sector coordination</w:t>
            </w:r>
          </w:p>
        </w:tc>
        <w:tc>
          <w:tcPr>
            <w:tcW w:w="562" w:type="pct"/>
            <w:tcBorders>
              <w:top w:val="single" w:sz="4" w:space="0" w:color="auto"/>
              <w:bottom w:val="single" w:sz="4" w:space="0" w:color="auto"/>
            </w:tcBorders>
          </w:tcPr>
          <w:p w14:paraId="7FBE10B1" w14:textId="7FCF057B" w:rsidR="009F37C0" w:rsidRPr="001A0706" w:rsidRDefault="00577AE7" w:rsidP="009236D4">
            <w:pPr>
              <w:rPr>
                <w:rFonts w:ascii="Arial" w:hAnsi="Arial" w:cs="Arial"/>
                <w:b/>
                <w:lang w:val="en-NZ"/>
              </w:rPr>
            </w:pPr>
            <w:r>
              <w:rPr>
                <w:rFonts w:ascii="Arial" w:hAnsi="Arial" w:cs="Arial"/>
                <w:b/>
                <w:lang w:val="en-NZ"/>
              </w:rPr>
              <w:t>20</w:t>
            </w:r>
            <w:r w:rsidR="009F37C0">
              <w:rPr>
                <w:rFonts w:ascii="Arial" w:hAnsi="Arial" w:cs="Arial"/>
                <w:b/>
                <w:lang w:val="en-NZ"/>
              </w:rPr>
              <w:t>%</w:t>
            </w:r>
          </w:p>
        </w:tc>
      </w:tr>
      <w:tr w:rsidR="009F37C0" w:rsidRPr="001A0706" w14:paraId="618DB67A" w14:textId="77777777" w:rsidTr="009236D4">
        <w:tc>
          <w:tcPr>
            <w:tcW w:w="3876" w:type="pct"/>
            <w:tcBorders>
              <w:top w:val="single" w:sz="4" w:space="0" w:color="auto"/>
              <w:left w:val="single" w:sz="4" w:space="0" w:color="auto"/>
              <w:bottom w:val="nil"/>
              <w:right w:val="nil"/>
            </w:tcBorders>
            <w:shd w:val="clear" w:color="auto" w:fill="auto"/>
          </w:tcPr>
          <w:p w14:paraId="648A0343" w14:textId="1A7F96F1" w:rsidR="009F37C0" w:rsidRPr="001A0706" w:rsidRDefault="00C22307" w:rsidP="009F37C0">
            <w:pPr>
              <w:numPr>
                <w:ilvl w:val="0"/>
                <w:numId w:val="32"/>
              </w:numPr>
              <w:contextualSpacing/>
              <w:jc w:val="both"/>
              <w:rPr>
                <w:rFonts w:ascii="Arial" w:hAnsi="Arial" w:cs="Arial"/>
                <w:lang w:val="en-NZ"/>
              </w:rPr>
            </w:pPr>
            <w:r>
              <w:rPr>
                <w:rFonts w:ascii="Arial" w:hAnsi="Arial" w:cs="Arial"/>
                <w:lang w:val="en-NZ"/>
              </w:rPr>
              <w:t xml:space="preserve">Programmatic/field monitoring visits </w:t>
            </w:r>
          </w:p>
        </w:tc>
        <w:tc>
          <w:tcPr>
            <w:tcW w:w="562" w:type="pct"/>
            <w:tcBorders>
              <w:top w:val="single" w:sz="4" w:space="0" w:color="auto"/>
              <w:left w:val="nil"/>
              <w:bottom w:val="nil"/>
              <w:right w:val="single" w:sz="4" w:space="0" w:color="auto"/>
            </w:tcBorders>
            <w:shd w:val="clear" w:color="auto" w:fill="auto"/>
          </w:tcPr>
          <w:p w14:paraId="1DAC01B3" w14:textId="18D3BF74" w:rsidR="009F37C0" w:rsidRPr="001A0706" w:rsidRDefault="009F37C0" w:rsidP="009236D4">
            <w:pPr>
              <w:rPr>
                <w:rFonts w:ascii="Arial" w:hAnsi="Arial" w:cs="Arial"/>
              </w:rPr>
            </w:pPr>
          </w:p>
        </w:tc>
        <w:tc>
          <w:tcPr>
            <w:tcW w:w="562" w:type="pct"/>
            <w:tcBorders>
              <w:top w:val="single" w:sz="4" w:space="0" w:color="auto"/>
              <w:left w:val="nil"/>
              <w:bottom w:val="nil"/>
              <w:right w:val="single" w:sz="4" w:space="0" w:color="auto"/>
            </w:tcBorders>
          </w:tcPr>
          <w:p w14:paraId="6AC9FA21" w14:textId="77777777" w:rsidR="009F37C0" w:rsidRPr="001A0706" w:rsidRDefault="009F37C0" w:rsidP="009236D4">
            <w:pPr>
              <w:rPr>
                <w:rFonts w:ascii="Arial" w:hAnsi="Arial" w:cs="Arial"/>
              </w:rPr>
            </w:pPr>
          </w:p>
        </w:tc>
      </w:tr>
      <w:tr w:rsidR="009F37C0" w:rsidRPr="001A0706" w14:paraId="48A73D2D" w14:textId="77777777" w:rsidTr="009236D4">
        <w:tc>
          <w:tcPr>
            <w:tcW w:w="3876" w:type="pct"/>
            <w:tcBorders>
              <w:top w:val="nil"/>
              <w:left w:val="single" w:sz="4" w:space="0" w:color="auto"/>
              <w:bottom w:val="single" w:sz="4" w:space="0" w:color="auto"/>
              <w:right w:val="nil"/>
            </w:tcBorders>
            <w:shd w:val="clear" w:color="auto" w:fill="auto"/>
          </w:tcPr>
          <w:p w14:paraId="149E5524" w14:textId="2BCE631C" w:rsidR="009F37C0" w:rsidRPr="001A0706" w:rsidRDefault="00C22307" w:rsidP="009F37C0">
            <w:pPr>
              <w:numPr>
                <w:ilvl w:val="0"/>
                <w:numId w:val="32"/>
              </w:numPr>
              <w:contextualSpacing/>
              <w:jc w:val="both"/>
              <w:rPr>
                <w:rFonts w:ascii="Arial" w:hAnsi="Arial" w:cs="Arial"/>
                <w:lang w:val="en-NZ"/>
              </w:rPr>
            </w:pPr>
            <w:r>
              <w:rPr>
                <w:rFonts w:ascii="Arial" w:hAnsi="Arial" w:cs="Arial"/>
                <w:lang w:val="en-NZ"/>
              </w:rPr>
              <w:t xml:space="preserve">Capacity building of local NGO partners </w:t>
            </w:r>
          </w:p>
        </w:tc>
        <w:tc>
          <w:tcPr>
            <w:tcW w:w="562" w:type="pct"/>
            <w:tcBorders>
              <w:top w:val="nil"/>
              <w:left w:val="nil"/>
              <w:bottom w:val="single" w:sz="4" w:space="0" w:color="auto"/>
              <w:right w:val="single" w:sz="4" w:space="0" w:color="auto"/>
            </w:tcBorders>
            <w:shd w:val="clear" w:color="auto" w:fill="auto"/>
          </w:tcPr>
          <w:p w14:paraId="1935125C" w14:textId="0E6495D7" w:rsidR="009F37C0" w:rsidRPr="001A0706" w:rsidRDefault="009F37C0" w:rsidP="009236D4">
            <w:pPr>
              <w:rPr>
                <w:rFonts w:ascii="Arial" w:hAnsi="Arial" w:cs="Arial"/>
              </w:rPr>
            </w:pPr>
          </w:p>
        </w:tc>
        <w:tc>
          <w:tcPr>
            <w:tcW w:w="562" w:type="pct"/>
            <w:tcBorders>
              <w:top w:val="nil"/>
              <w:left w:val="nil"/>
              <w:bottom w:val="single" w:sz="4" w:space="0" w:color="auto"/>
              <w:right w:val="single" w:sz="4" w:space="0" w:color="auto"/>
            </w:tcBorders>
          </w:tcPr>
          <w:p w14:paraId="240E0374" w14:textId="77777777" w:rsidR="009F37C0" w:rsidRPr="001A0706" w:rsidRDefault="009F37C0" w:rsidP="009236D4">
            <w:pPr>
              <w:rPr>
                <w:rFonts w:ascii="Arial" w:hAnsi="Arial" w:cs="Arial"/>
              </w:rPr>
            </w:pPr>
          </w:p>
        </w:tc>
      </w:tr>
      <w:tr w:rsidR="009F37C0" w:rsidRPr="001A0706" w14:paraId="1F5D3A3E" w14:textId="77777777" w:rsidTr="009236D4">
        <w:tc>
          <w:tcPr>
            <w:tcW w:w="3876" w:type="pct"/>
            <w:tcBorders>
              <w:top w:val="nil"/>
              <w:left w:val="single" w:sz="4" w:space="0" w:color="auto"/>
              <w:bottom w:val="single" w:sz="4" w:space="0" w:color="auto"/>
              <w:right w:val="nil"/>
            </w:tcBorders>
            <w:shd w:val="clear" w:color="auto" w:fill="auto"/>
          </w:tcPr>
          <w:p w14:paraId="52E2BE7D" w14:textId="2C24252A" w:rsidR="009F37C0" w:rsidRPr="001A0706" w:rsidRDefault="00D60AB2" w:rsidP="009F37C0">
            <w:pPr>
              <w:numPr>
                <w:ilvl w:val="0"/>
                <w:numId w:val="32"/>
              </w:numPr>
              <w:contextualSpacing/>
              <w:jc w:val="both"/>
              <w:rPr>
                <w:rFonts w:ascii="Arial" w:hAnsi="Arial" w:cs="Arial"/>
              </w:rPr>
            </w:pPr>
            <w:r>
              <w:rPr>
                <w:rFonts w:ascii="Arial" w:hAnsi="Arial" w:cs="Arial"/>
              </w:rPr>
              <w:t>Report on support provided to regional</w:t>
            </w:r>
            <w:r w:rsidR="008A7F49">
              <w:rPr>
                <w:rFonts w:ascii="Arial" w:hAnsi="Arial" w:cs="Arial"/>
              </w:rPr>
              <w:t xml:space="preserve"> groups on climate change, DWSSPs</w:t>
            </w:r>
            <w:r>
              <w:rPr>
                <w:rFonts w:ascii="Arial" w:hAnsi="Arial" w:cs="Arial"/>
              </w:rPr>
              <w:t xml:space="preserve"> integration, </w:t>
            </w:r>
          </w:p>
        </w:tc>
        <w:tc>
          <w:tcPr>
            <w:tcW w:w="562" w:type="pct"/>
            <w:tcBorders>
              <w:top w:val="nil"/>
              <w:left w:val="nil"/>
              <w:bottom w:val="single" w:sz="4" w:space="0" w:color="auto"/>
              <w:right w:val="single" w:sz="4" w:space="0" w:color="auto"/>
            </w:tcBorders>
            <w:shd w:val="clear" w:color="auto" w:fill="auto"/>
          </w:tcPr>
          <w:p w14:paraId="5FB2A4C3" w14:textId="43D524A2" w:rsidR="009F37C0" w:rsidRPr="001A0706" w:rsidRDefault="009F37C0" w:rsidP="009236D4">
            <w:pPr>
              <w:rPr>
                <w:rFonts w:ascii="Arial" w:hAnsi="Arial" w:cs="Arial"/>
              </w:rPr>
            </w:pPr>
          </w:p>
        </w:tc>
        <w:tc>
          <w:tcPr>
            <w:tcW w:w="562" w:type="pct"/>
            <w:tcBorders>
              <w:top w:val="nil"/>
              <w:left w:val="nil"/>
              <w:bottom w:val="single" w:sz="4" w:space="0" w:color="auto"/>
              <w:right w:val="single" w:sz="4" w:space="0" w:color="auto"/>
            </w:tcBorders>
          </w:tcPr>
          <w:p w14:paraId="6367C77F" w14:textId="77777777" w:rsidR="009F37C0" w:rsidRPr="001A0706" w:rsidRDefault="009F37C0" w:rsidP="009236D4">
            <w:pPr>
              <w:rPr>
                <w:rFonts w:ascii="Arial" w:hAnsi="Arial" w:cs="Arial"/>
              </w:rPr>
            </w:pPr>
          </w:p>
        </w:tc>
      </w:tr>
      <w:tr w:rsidR="009F37C0" w:rsidRPr="001A0706" w14:paraId="4FF3E05F" w14:textId="77777777" w:rsidTr="009236D4">
        <w:trPr>
          <w:trHeight w:val="233"/>
        </w:trPr>
        <w:tc>
          <w:tcPr>
            <w:tcW w:w="4438" w:type="pct"/>
            <w:gridSpan w:val="2"/>
            <w:tcBorders>
              <w:top w:val="single" w:sz="4" w:space="0" w:color="auto"/>
              <w:bottom w:val="single" w:sz="4" w:space="0" w:color="auto"/>
            </w:tcBorders>
            <w:shd w:val="clear" w:color="auto" w:fill="auto"/>
          </w:tcPr>
          <w:p w14:paraId="56900D9A" w14:textId="77777777" w:rsidR="009F37C0" w:rsidRPr="001A0706" w:rsidRDefault="009F37C0" w:rsidP="009236D4">
            <w:pPr>
              <w:jc w:val="both"/>
              <w:rPr>
                <w:rFonts w:ascii="Arial" w:hAnsi="Arial" w:cs="Arial"/>
                <w:b/>
                <w:lang w:val="en-NZ"/>
              </w:rPr>
            </w:pPr>
            <w:r w:rsidRPr="001A0706">
              <w:rPr>
                <w:rFonts w:ascii="Arial" w:hAnsi="Arial" w:cs="Arial"/>
                <w:b/>
                <w:lang w:val="en-NZ"/>
              </w:rPr>
              <w:t>WASH Data and Knowledge Management</w:t>
            </w:r>
          </w:p>
        </w:tc>
        <w:tc>
          <w:tcPr>
            <w:tcW w:w="562" w:type="pct"/>
            <w:tcBorders>
              <w:top w:val="single" w:sz="4" w:space="0" w:color="auto"/>
              <w:bottom w:val="single" w:sz="4" w:space="0" w:color="auto"/>
            </w:tcBorders>
          </w:tcPr>
          <w:p w14:paraId="6F66A5CF" w14:textId="566A2D7F" w:rsidR="009F37C0" w:rsidRPr="001A0706" w:rsidRDefault="00577AE7" w:rsidP="009236D4">
            <w:pPr>
              <w:jc w:val="both"/>
              <w:rPr>
                <w:rFonts w:ascii="Arial" w:hAnsi="Arial" w:cs="Arial"/>
                <w:b/>
                <w:lang w:val="en-NZ"/>
              </w:rPr>
            </w:pPr>
            <w:r>
              <w:rPr>
                <w:rFonts w:ascii="Arial" w:hAnsi="Arial" w:cs="Arial"/>
                <w:b/>
                <w:lang w:val="en-NZ"/>
              </w:rPr>
              <w:t>25</w:t>
            </w:r>
            <w:r w:rsidR="009F37C0">
              <w:rPr>
                <w:rFonts w:ascii="Arial" w:hAnsi="Arial" w:cs="Arial"/>
                <w:b/>
                <w:lang w:val="en-NZ"/>
              </w:rPr>
              <w:t>%</w:t>
            </w:r>
          </w:p>
        </w:tc>
      </w:tr>
      <w:tr w:rsidR="009F37C0" w:rsidRPr="001A0706" w14:paraId="1D98E395" w14:textId="77777777" w:rsidTr="009236D4">
        <w:tc>
          <w:tcPr>
            <w:tcW w:w="3876" w:type="pct"/>
            <w:tcBorders>
              <w:top w:val="single" w:sz="4" w:space="0" w:color="auto"/>
              <w:left w:val="single" w:sz="4" w:space="0" w:color="auto"/>
              <w:bottom w:val="nil"/>
              <w:right w:val="nil"/>
            </w:tcBorders>
            <w:shd w:val="clear" w:color="auto" w:fill="auto"/>
          </w:tcPr>
          <w:p w14:paraId="59F3852F" w14:textId="02692DB7" w:rsidR="009F37C0" w:rsidRPr="001A0706" w:rsidRDefault="00C22307" w:rsidP="00E72300">
            <w:pPr>
              <w:numPr>
                <w:ilvl w:val="0"/>
                <w:numId w:val="33"/>
              </w:numPr>
              <w:contextualSpacing/>
              <w:jc w:val="both"/>
              <w:rPr>
                <w:rFonts w:ascii="Arial" w:hAnsi="Arial" w:cs="Arial"/>
                <w:lang w:val="en-NZ"/>
              </w:rPr>
            </w:pPr>
            <w:r>
              <w:rPr>
                <w:rFonts w:ascii="Arial" w:hAnsi="Arial" w:cs="Arial"/>
                <w:lang w:val="en-NZ"/>
              </w:rPr>
              <w:t>Report (including t</w:t>
            </w:r>
            <w:r w:rsidR="00904684">
              <w:rPr>
                <w:rFonts w:ascii="Arial" w:hAnsi="Arial" w:cs="Arial"/>
                <w:lang w:val="en-NZ"/>
              </w:rPr>
              <w:t>raining plan and presentation</w:t>
            </w:r>
            <w:r>
              <w:rPr>
                <w:rFonts w:ascii="Arial" w:hAnsi="Arial" w:cs="Arial"/>
                <w:lang w:val="en-NZ"/>
              </w:rPr>
              <w:t>)</w:t>
            </w:r>
            <w:r w:rsidR="00904684">
              <w:rPr>
                <w:rFonts w:ascii="Arial" w:hAnsi="Arial" w:cs="Arial"/>
                <w:lang w:val="en-NZ"/>
              </w:rPr>
              <w:t xml:space="preserve"> on </w:t>
            </w:r>
            <w:proofErr w:type="spellStart"/>
            <w:r w:rsidR="00904684">
              <w:rPr>
                <w:rFonts w:ascii="Arial" w:hAnsi="Arial" w:cs="Arial"/>
                <w:lang w:val="en-NZ"/>
              </w:rPr>
              <w:t>Akvo</w:t>
            </w:r>
            <w:proofErr w:type="spellEnd"/>
            <w:r w:rsidR="00904684">
              <w:rPr>
                <w:rFonts w:ascii="Arial" w:hAnsi="Arial" w:cs="Arial"/>
                <w:lang w:val="en-NZ"/>
              </w:rPr>
              <w:t xml:space="preserve"> Flow and </w:t>
            </w:r>
            <w:proofErr w:type="spellStart"/>
            <w:r w:rsidR="00904684">
              <w:rPr>
                <w:rFonts w:ascii="Arial" w:hAnsi="Arial" w:cs="Arial"/>
                <w:lang w:val="en-NZ"/>
              </w:rPr>
              <w:t>Akvo</w:t>
            </w:r>
            <w:proofErr w:type="spellEnd"/>
            <w:r w:rsidR="00904684">
              <w:rPr>
                <w:rFonts w:ascii="Arial" w:hAnsi="Arial" w:cs="Arial"/>
                <w:lang w:val="en-NZ"/>
              </w:rPr>
              <w:t xml:space="preserve"> RSR </w:t>
            </w:r>
            <w:r>
              <w:rPr>
                <w:rFonts w:ascii="Arial" w:hAnsi="Arial" w:cs="Arial"/>
                <w:lang w:val="en-NZ"/>
              </w:rPr>
              <w:t>as well as WASHB</w:t>
            </w:r>
            <w:r w:rsidR="00E72300">
              <w:rPr>
                <w:rFonts w:ascii="Arial" w:hAnsi="Arial" w:cs="Arial"/>
                <w:lang w:val="en-NZ"/>
              </w:rPr>
              <w:t>AT</w:t>
            </w:r>
            <w:r>
              <w:rPr>
                <w:rFonts w:ascii="Arial" w:hAnsi="Arial" w:cs="Arial"/>
                <w:lang w:val="en-NZ"/>
              </w:rPr>
              <w:t xml:space="preserve"> online tools</w:t>
            </w:r>
          </w:p>
        </w:tc>
        <w:tc>
          <w:tcPr>
            <w:tcW w:w="562" w:type="pct"/>
            <w:tcBorders>
              <w:top w:val="single" w:sz="4" w:space="0" w:color="auto"/>
              <w:left w:val="nil"/>
              <w:bottom w:val="nil"/>
              <w:right w:val="single" w:sz="4" w:space="0" w:color="auto"/>
            </w:tcBorders>
            <w:shd w:val="clear" w:color="auto" w:fill="auto"/>
          </w:tcPr>
          <w:p w14:paraId="6E4952C2" w14:textId="3D2635DB" w:rsidR="009F37C0" w:rsidRPr="001A0706" w:rsidRDefault="009F37C0" w:rsidP="009236D4">
            <w:pPr>
              <w:rPr>
                <w:rFonts w:ascii="Arial" w:hAnsi="Arial" w:cs="Arial"/>
                <w:lang w:val="en-NZ"/>
              </w:rPr>
            </w:pPr>
          </w:p>
        </w:tc>
        <w:tc>
          <w:tcPr>
            <w:tcW w:w="562" w:type="pct"/>
            <w:tcBorders>
              <w:top w:val="single" w:sz="4" w:space="0" w:color="auto"/>
              <w:left w:val="nil"/>
              <w:bottom w:val="nil"/>
              <w:right w:val="single" w:sz="4" w:space="0" w:color="auto"/>
            </w:tcBorders>
          </w:tcPr>
          <w:p w14:paraId="0DF8D1E5" w14:textId="77777777" w:rsidR="009F37C0" w:rsidRPr="001A0706" w:rsidRDefault="009F37C0" w:rsidP="009236D4">
            <w:pPr>
              <w:rPr>
                <w:rFonts w:ascii="Arial" w:hAnsi="Arial" w:cs="Arial"/>
                <w:lang w:val="en-NZ"/>
              </w:rPr>
            </w:pPr>
          </w:p>
        </w:tc>
      </w:tr>
      <w:tr w:rsidR="009F37C0" w:rsidRPr="001A0706" w14:paraId="082F3EF0" w14:textId="77777777" w:rsidTr="009236D4">
        <w:tc>
          <w:tcPr>
            <w:tcW w:w="3876" w:type="pct"/>
            <w:tcBorders>
              <w:top w:val="nil"/>
              <w:left w:val="single" w:sz="4" w:space="0" w:color="auto"/>
              <w:bottom w:val="single" w:sz="4" w:space="0" w:color="auto"/>
              <w:right w:val="nil"/>
            </w:tcBorders>
            <w:shd w:val="clear" w:color="auto" w:fill="auto"/>
          </w:tcPr>
          <w:p w14:paraId="0D5F971C" w14:textId="620FB877" w:rsidR="00C22307" w:rsidRPr="00C22307" w:rsidRDefault="00C22307" w:rsidP="00C22307">
            <w:pPr>
              <w:numPr>
                <w:ilvl w:val="0"/>
                <w:numId w:val="33"/>
              </w:numPr>
              <w:contextualSpacing/>
              <w:jc w:val="both"/>
              <w:rPr>
                <w:rFonts w:ascii="Arial" w:hAnsi="Arial" w:cs="Arial"/>
                <w:lang w:val="en-NZ"/>
              </w:rPr>
            </w:pPr>
            <w:r>
              <w:rPr>
                <w:rFonts w:ascii="Arial" w:hAnsi="Arial" w:cs="Arial"/>
              </w:rPr>
              <w:lastRenderedPageBreak/>
              <w:t xml:space="preserve">Toolkit/compendium of </w:t>
            </w:r>
            <w:r w:rsidR="00904684">
              <w:rPr>
                <w:rFonts w:ascii="Arial" w:hAnsi="Arial" w:cs="Arial"/>
              </w:rPr>
              <w:t xml:space="preserve">existing advocacy materials </w:t>
            </w:r>
            <w:r>
              <w:rPr>
                <w:rFonts w:ascii="Arial" w:hAnsi="Arial" w:cs="Arial"/>
              </w:rPr>
              <w:t xml:space="preserve">and other tools </w:t>
            </w:r>
            <w:r w:rsidR="00904684">
              <w:rPr>
                <w:rFonts w:ascii="Arial" w:hAnsi="Arial" w:cs="Arial"/>
              </w:rPr>
              <w:t xml:space="preserve">on WASH </w:t>
            </w:r>
          </w:p>
        </w:tc>
        <w:tc>
          <w:tcPr>
            <w:tcW w:w="562" w:type="pct"/>
            <w:tcBorders>
              <w:top w:val="nil"/>
              <w:left w:val="nil"/>
              <w:bottom w:val="single" w:sz="4" w:space="0" w:color="auto"/>
              <w:right w:val="single" w:sz="4" w:space="0" w:color="auto"/>
            </w:tcBorders>
            <w:shd w:val="clear" w:color="auto" w:fill="auto"/>
          </w:tcPr>
          <w:p w14:paraId="2734C7B1" w14:textId="7DECE55A" w:rsidR="009F37C0" w:rsidRPr="001A0706" w:rsidRDefault="009F37C0" w:rsidP="009236D4">
            <w:pPr>
              <w:rPr>
                <w:rFonts w:ascii="Arial" w:hAnsi="Arial" w:cs="Arial"/>
                <w:lang w:val="en-NZ"/>
              </w:rPr>
            </w:pPr>
          </w:p>
        </w:tc>
        <w:tc>
          <w:tcPr>
            <w:tcW w:w="562" w:type="pct"/>
            <w:tcBorders>
              <w:top w:val="nil"/>
              <w:left w:val="nil"/>
              <w:bottom w:val="single" w:sz="4" w:space="0" w:color="auto"/>
              <w:right w:val="single" w:sz="4" w:space="0" w:color="auto"/>
            </w:tcBorders>
          </w:tcPr>
          <w:p w14:paraId="2EDDA5D2" w14:textId="77777777" w:rsidR="009F37C0" w:rsidRPr="001A0706" w:rsidRDefault="009F37C0" w:rsidP="009236D4">
            <w:pPr>
              <w:rPr>
                <w:rFonts w:ascii="Arial" w:hAnsi="Arial" w:cs="Arial"/>
                <w:lang w:val="en-NZ"/>
              </w:rPr>
            </w:pPr>
          </w:p>
        </w:tc>
      </w:tr>
      <w:tr w:rsidR="009F37C0" w:rsidRPr="001A0706" w14:paraId="130CC7E5" w14:textId="77777777" w:rsidTr="009236D4">
        <w:trPr>
          <w:trHeight w:val="296"/>
        </w:trPr>
        <w:tc>
          <w:tcPr>
            <w:tcW w:w="4438" w:type="pct"/>
            <w:gridSpan w:val="2"/>
            <w:tcBorders>
              <w:top w:val="single" w:sz="4" w:space="0" w:color="auto"/>
              <w:left w:val="single" w:sz="4" w:space="0" w:color="auto"/>
              <w:bottom w:val="single" w:sz="4" w:space="0" w:color="auto"/>
              <w:right w:val="single" w:sz="4" w:space="0" w:color="auto"/>
            </w:tcBorders>
            <w:shd w:val="clear" w:color="auto" w:fill="auto"/>
          </w:tcPr>
          <w:p w14:paraId="178E21E8" w14:textId="77777777" w:rsidR="009F37C0" w:rsidRPr="001A0706" w:rsidRDefault="009F37C0" w:rsidP="009236D4">
            <w:pPr>
              <w:rPr>
                <w:rFonts w:ascii="Arial" w:hAnsi="Arial" w:cs="Arial"/>
                <w:lang w:val="en-NZ"/>
              </w:rPr>
            </w:pPr>
            <w:r w:rsidRPr="001A0706">
              <w:rPr>
                <w:rFonts w:ascii="Arial" w:hAnsi="Arial" w:cs="Arial"/>
                <w:b/>
              </w:rPr>
              <w:t>Support Emergency preparedness and response</w:t>
            </w:r>
          </w:p>
        </w:tc>
        <w:tc>
          <w:tcPr>
            <w:tcW w:w="562" w:type="pct"/>
            <w:tcBorders>
              <w:top w:val="single" w:sz="4" w:space="0" w:color="auto"/>
              <w:left w:val="single" w:sz="4" w:space="0" w:color="auto"/>
              <w:bottom w:val="single" w:sz="4" w:space="0" w:color="auto"/>
              <w:right w:val="single" w:sz="4" w:space="0" w:color="auto"/>
            </w:tcBorders>
          </w:tcPr>
          <w:p w14:paraId="42B774E8" w14:textId="77777777" w:rsidR="009F37C0" w:rsidRPr="001A0706" w:rsidRDefault="009F37C0" w:rsidP="009236D4">
            <w:pPr>
              <w:rPr>
                <w:rFonts w:ascii="Arial" w:hAnsi="Arial" w:cs="Arial"/>
                <w:b/>
              </w:rPr>
            </w:pPr>
            <w:r>
              <w:rPr>
                <w:rFonts w:ascii="Arial" w:hAnsi="Arial" w:cs="Arial"/>
                <w:b/>
              </w:rPr>
              <w:t>15%</w:t>
            </w:r>
          </w:p>
        </w:tc>
      </w:tr>
      <w:tr w:rsidR="009F37C0" w:rsidRPr="001A0706" w14:paraId="099FCA2A" w14:textId="77777777" w:rsidTr="009236D4">
        <w:tc>
          <w:tcPr>
            <w:tcW w:w="3876" w:type="pct"/>
            <w:tcBorders>
              <w:top w:val="single" w:sz="4" w:space="0" w:color="auto"/>
              <w:left w:val="single" w:sz="4" w:space="0" w:color="auto"/>
              <w:bottom w:val="single" w:sz="4" w:space="0" w:color="auto"/>
              <w:right w:val="single" w:sz="4" w:space="0" w:color="auto"/>
            </w:tcBorders>
            <w:shd w:val="clear" w:color="auto" w:fill="auto"/>
          </w:tcPr>
          <w:p w14:paraId="6C5D46F9" w14:textId="324906E0" w:rsidR="009F37C0" w:rsidRPr="001A0706" w:rsidRDefault="00C22307" w:rsidP="00C22307">
            <w:pPr>
              <w:numPr>
                <w:ilvl w:val="0"/>
                <w:numId w:val="33"/>
              </w:numPr>
              <w:contextualSpacing/>
              <w:jc w:val="both"/>
              <w:rPr>
                <w:rFonts w:ascii="Arial" w:hAnsi="Arial" w:cs="Arial"/>
                <w:lang w:val="en-NZ"/>
              </w:rPr>
            </w:pPr>
            <w:r>
              <w:rPr>
                <w:rFonts w:ascii="Arial" w:hAnsi="Arial" w:cs="Arial"/>
                <w:lang w:val="en-NZ"/>
              </w:rPr>
              <w:t>Report on support to Technical Group and Emergency Cluster</w:t>
            </w:r>
          </w:p>
        </w:tc>
        <w:tc>
          <w:tcPr>
            <w:tcW w:w="562" w:type="pct"/>
            <w:tcBorders>
              <w:top w:val="single" w:sz="4" w:space="0" w:color="auto"/>
              <w:left w:val="single" w:sz="4" w:space="0" w:color="auto"/>
              <w:bottom w:val="single" w:sz="4" w:space="0" w:color="auto"/>
              <w:right w:val="single" w:sz="4" w:space="0" w:color="auto"/>
            </w:tcBorders>
            <w:shd w:val="clear" w:color="auto" w:fill="auto"/>
          </w:tcPr>
          <w:p w14:paraId="5178B3CB" w14:textId="62EB3849" w:rsidR="009F37C0" w:rsidRPr="001A0706" w:rsidRDefault="009F37C0" w:rsidP="009236D4">
            <w:pPr>
              <w:rPr>
                <w:rFonts w:ascii="Arial" w:hAnsi="Arial" w:cs="Arial"/>
                <w:lang w:val="en-NZ"/>
              </w:rPr>
            </w:pPr>
          </w:p>
        </w:tc>
        <w:tc>
          <w:tcPr>
            <w:tcW w:w="562" w:type="pct"/>
            <w:tcBorders>
              <w:top w:val="single" w:sz="4" w:space="0" w:color="auto"/>
              <w:left w:val="single" w:sz="4" w:space="0" w:color="auto"/>
              <w:bottom w:val="single" w:sz="4" w:space="0" w:color="auto"/>
              <w:right w:val="single" w:sz="4" w:space="0" w:color="auto"/>
            </w:tcBorders>
          </w:tcPr>
          <w:p w14:paraId="1E965DF9" w14:textId="77777777" w:rsidR="009F37C0" w:rsidRPr="001A0706" w:rsidRDefault="009F37C0" w:rsidP="009236D4">
            <w:pPr>
              <w:rPr>
                <w:rFonts w:ascii="Arial" w:hAnsi="Arial" w:cs="Arial"/>
                <w:lang w:val="en-NZ"/>
              </w:rPr>
            </w:pPr>
          </w:p>
        </w:tc>
      </w:tr>
    </w:tbl>
    <w:p w14:paraId="01489A64" w14:textId="77777777" w:rsidR="00392C81" w:rsidRDefault="00392C81" w:rsidP="000570A6">
      <w:pPr>
        <w:jc w:val="both"/>
        <w:rPr>
          <w:rFonts w:ascii="Arial" w:hAnsi="Arial" w:cs="Arial"/>
          <w:b/>
          <w:u w:val="single"/>
        </w:rPr>
      </w:pPr>
    </w:p>
    <w:p w14:paraId="44D948B8" w14:textId="77777777" w:rsidR="008A7F49" w:rsidRPr="008506FB" w:rsidRDefault="008A7F49" w:rsidP="005F1412">
      <w:pPr>
        <w:pBdr>
          <w:bottom w:val="single" w:sz="4" w:space="1" w:color="auto"/>
        </w:pBdr>
        <w:rPr>
          <w:rFonts w:ascii="Arial" w:hAnsi="Arial" w:cs="Arial"/>
          <w:b/>
        </w:rPr>
      </w:pPr>
    </w:p>
    <w:p w14:paraId="0BC4C50B" w14:textId="77777777" w:rsidR="00944013" w:rsidRPr="008506FB" w:rsidRDefault="00944013" w:rsidP="00944013">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6E69B6AE" w14:textId="582D576F" w:rsidR="00952C49" w:rsidRPr="00952C49" w:rsidRDefault="00952C49" w:rsidP="00952C49">
      <w:pPr>
        <w:tabs>
          <w:tab w:val="left" w:pos="-1080"/>
          <w:tab w:val="left" w:pos="-720"/>
          <w:tab w:val="left" w:pos="0"/>
          <w:tab w:val="left" w:pos="720"/>
          <w:tab w:val="left" w:pos="1440"/>
          <w:tab w:val="left" w:pos="2160"/>
          <w:tab w:val="left" w:pos="2520"/>
          <w:tab w:val="left" w:pos="3600"/>
        </w:tabs>
        <w:jc w:val="both"/>
        <w:rPr>
          <w:rFonts w:ascii="Arial" w:hAnsi="Arial" w:cs="Arial"/>
        </w:rPr>
      </w:pPr>
      <w:r w:rsidRPr="00952C49">
        <w:rPr>
          <w:rFonts w:ascii="Arial" w:hAnsi="Arial" w:cs="Arial"/>
        </w:rPr>
        <w:t>The consultant will be under the direct supervision of the WASH Specialist at the UNICEF Office for Pacific Island Countries.</w:t>
      </w:r>
    </w:p>
    <w:p w14:paraId="0E3C2BBB" w14:textId="61880075" w:rsidR="00944013" w:rsidRPr="00DF762E" w:rsidRDefault="00944013" w:rsidP="00DF762E">
      <w:pPr>
        <w:rPr>
          <w:rFonts w:ascii="Arial" w:hAnsi="Arial" w:cs="Arial"/>
        </w:rPr>
      </w:pPr>
    </w:p>
    <w:p w14:paraId="30973A1F" w14:textId="77777777" w:rsidR="00944013" w:rsidRPr="00DF762E" w:rsidRDefault="00944013" w:rsidP="00B41C68">
      <w:pPr>
        <w:pBdr>
          <w:bottom w:val="single" w:sz="4" w:space="1" w:color="auto"/>
        </w:pBdr>
        <w:rPr>
          <w:rFonts w:ascii="Arial" w:hAnsi="Arial" w:cs="Arial"/>
          <w:b/>
        </w:rPr>
      </w:pPr>
    </w:p>
    <w:p w14:paraId="349D8B7B" w14:textId="25AD39B9"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26F30A15" w14:textId="77777777" w:rsidR="006264BE" w:rsidRPr="00DF762E"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9EEC6CD" w14:textId="3B19C941"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75D790AE" w14:textId="335B4B95"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All related (internal/external) official travel of the consultancy will be organized by the consultant and costs reimbursed accordingly.</w:t>
      </w:r>
    </w:p>
    <w:p w14:paraId="2A78AB8E" w14:textId="77777777"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5ED2430B" w14:textId="45D3B5BD" w:rsidR="00392C81" w:rsidRDefault="006264BE" w:rsidP="00D70127">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also required to organize his own visa to the duty station – UNICEF will provide a support letter to assist with visa approval. </w:t>
      </w:r>
    </w:p>
    <w:p w14:paraId="4362ECB7" w14:textId="77777777" w:rsidR="00392C81" w:rsidRPr="00DF762E" w:rsidRDefault="00392C81" w:rsidP="00B41C68">
      <w:pPr>
        <w:pBdr>
          <w:bottom w:val="single" w:sz="4" w:space="1" w:color="auto"/>
        </w:pBdr>
        <w:rPr>
          <w:rFonts w:ascii="Arial" w:hAnsi="Arial" w:cs="Arial"/>
        </w:rPr>
      </w:pPr>
    </w:p>
    <w:p w14:paraId="0C1BF110" w14:textId="77777777" w:rsidR="008E72E1" w:rsidRPr="00DF762E" w:rsidRDefault="008E72E1" w:rsidP="00DF762E">
      <w:pPr>
        <w:rPr>
          <w:rFonts w:ascii="Arial" w:hAnsi="Arial" w:cs="Arial"/>
          <w:b/>
        </w:rPr>
      </w:pPr>
      <w:r w:rsidRPr="00DF762E">
        <w:rPr>
          <w:rFonts w:ascii="Arial" w:hAnsi="Arial" w:cs="Arial"/>
          <w:b/>
        </w:rPr>
        <w:t>Consultant’s Work Place:</w:t>
      </w:r>
    </w:p>
    <w:p w14:paraId="1E669F39" w14:textId="1775766C" w:rsidR="008E72E1" w:rsidRPr="00952C49" w:rsidRDefault="00952C49" w:rsidP="00DF762E">
      <w:pPr>
        <w:rPr>
          <w:rFonts w:ascii="Arial" w:hAnsi="Arial" w:cs="Arial"/>
        </w:rPr>
      </w:pPr>
      <w:r w:rsidRPr="00952C49">
        <w:rPr>
          <w:rFonts w:ascii="Arial" w:hAnsi="Arial" w:cs="Arial"/>
        </w:rPr>
        <w:t>The consultant will have a flexible work arrangement where at times he works out of the UNICEF Suva based office and other times, he can work remotely where he has access to good internet connectivity.</w:t>
      </w:r>
    </w:p>
    <w:p w14:paraId="10BCCA74" w14:textId="6647387B" w:rsidR="00CB7CB1" w:rsidRPr="00DF762E" w:rsidRDefault="00CB7CB1" w:rsidP="00DF762E">
      <w:pPr>
        <w:rPr>
          <w:rFonts w:ascii="Arial" w:hAnsi="Arial" w:cs="Arial"/>
        </w:rPr>
      </w:pPr>
    </w:p>
    <w:p w14:paraId="6E7446DC" w14:textId="77777777" w:rsidR="00D46C07" w:rsidRPr="00DF762E" w:rsidRDefault="00D46C07" w:rsidP="00B41C68">
      <w:pPr>
        <w:pBdr>
          <w:bottom w:val="single" w:sz="4" w:space="1" w:color="auto"/>
        </w:pBd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4183BF6A" w14:textId="77777777" w:rsidR="00B41C68" w:rsidRPr="00DF762E" w:rsidRDefault="00B41C68" w:rsidP="00835B8E">
      <w:pPr>
        <w:rPr>
          <w:rFonts w:ascii="Arial" w:hAnsi="Arial" w:cs="Arial"/>
          <w:b/>
        </w:rPr>
      </w:pP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26959472" w14:textId="77777777" w:rsidR="00952C49" w:rsidRPr="00F60621" w:rsidRDefault="00952C49" w:rsidP="00952C49">
      <w:pPr>
        <w:pStyle w:val="ListParagraph"/>
        <w:widowControl w:val="0"/>
        <w:numPr>
          <w:ilvl w:val="0"/>
          <w:numId w:val="22"/>
        </w:numPr>
        <w:jc w:val="both"/>
        <w:rPr>
          <w:rFonts w:ascii="Arial" w:hAnsi="Arial" w:cs="Arial"/>
          <w:sz w:val="18"/>
          <w:szCs w:val="18"/>
        </w:rPr>
      </w:pPr>
      <w:r>
        <w:rPr>
          <w:rFonts w:ascii="Arial" w:hAnsi="Arial" w:cs="Arial"/>
          <w:sz w:val="18"/>
          <w:szCs w:val="18"/>
        </w:rPr>
        <w:t>D</w:t>
      </w:r>
      <w:r w:rsidRPr="00F60621">
        <w:rPr>
          <w:rFonts w:ascii="Arial" w:hAnsi="Arial" w:cs="Arial"/>
          <w:sz w:val="18"/>
          <w:szCs w:val="18"/>
        </w:rPr>
        <w:t>egree in one of the disciplines relevant to the following areas: Public Health, Civil Engineering, Mechanical Engineering, Geology, Hydrology, Sanitation Engineering, or a field relevant to international WASH</w:t>
      </w:r>
      <w:r>
        <w:rPr>
          <w:rFonts w:ascii="Arial" w:hAnsi="Arial" w:cs="Arial"/>
          <w:sz w:val="18"/>
          <w:szCs w:val="18"/>
        </w:rPr>
        <w:t xml:space="preserve"> related development assistance;</w:t>
      </w:r>
    </w:p>
    <w:p w14:paraId="536CAB4F" w14:textId="77777777" w:rsidR="00952C49" w:rsidRDefault="00952C49" w:rsidP="00952C49">
      <w:pPr>
        <w:pStyle w:val="ListParagraph"/>
        <w:widowControl w:val="0"/>
        <w:numPr>
          <w:ilvl w:val="0"/>
          <w:numId w:val="22"/>
        </w:numPr>
        <w:jc w:val="both"/>
        <w:rPr>
          <w:rFonts w:ascii="Arial" w:hAnsi="Arial" w:cs="Arial"/>
          <w:sz w:val="18"/>
          <w:szCs w:val="18"/>
        </w:rPr>
      </w:pPr>
      <w:r w:rsidRPr="00F60621">
        <w:rPr>
          <w:rFonts w:ascii="Arial" w:hAnsi="Arial" w:cs="Arial"/>
          <w:sz w:val="18"/>
          <w:szCs w:val="18"/>
        </w:rPr>
        <w:t xml:space="preserve">Additional training in Health Education or Communication for Development </w:t>
      </w:r>
      <w:r>
        <w:rPr>
          <w:rFonts w:ascii="Arial" w:hAnsi="Arial" w:cs="Arial"/>
          <w:sz w:val="18"/>
          <w:szCs w:val="18"/>
        </w:rPr>
        <w:t>are considered an asset;</w:t>
      </w:r>
    </w:p>
    <w:p w14:paraId="0AF4E3FF" w14:textId="77777777" w:rsidR="00952C49" w:rsidRPr="00F60621" w:rsidRDefault="00952C49" w:rsidP="00952C49">
      <w:pPr>
        <w:pStyle w:val="ListParagraph"/>
        <w:widowControl w:val="0"/>
        <w:numPr>
          <w:ilvl w:val="0"/>
          <w:numId w:val="22"/>
        </w:numPr>
        <w:jc w:val="both"/>
        <w:rPr>
          <w:rFonts w:ascii="Arial" w:hAnsi="Arial" w:cs="Arial"/>
          <w:sz w:val="18"/>
          <w:szCs w:val="18"/>
        </w:rPr>
      </w:pPr>
      <w:r>
        <w:rPr>
          <w:rFonts w:ascii="Arial" w:hAnsi="Arial" w:cs="Arial"/>
          <w:sz w:val="18"/>
          <w:szCs w:val="18"/>
        </w:rPr>
        <w:t>Additional training and experience in emergency/humanitarian response, preparedness and capacity building on disaster and climate risk resilience is considered an asset.</w:t>
      </w:r>
    </w:p>
    <w:p w14:paraId="2E93A917" w14:textId="77777777" w:rsidR="00B41C68" w:rsidRDefault="00B41C68" w:rsidP="00944013">
      <w:pPr>
        <w:rPr>
          <w:rFonts w:ascii="Arial" w:hAnsi="Arial" w:cs="Arial"/>
        </w:rPr>
      </w:pPr>
    </w:p>
    <w:p w14:paraId="71CA90D3" w14:textId="6A46E683" w:rsidR="00B41C68" w:rsidRPr="00B41C68" w:rsidRDefault="00B41C68" w:rsidP="00944013">
      <w:pPr>
        <w:rPr>
          <w:rFonts w:ascii="Arial" w:hAnsi="Arial" w:cs="Arial"/>
          <w:u w:val="single"/>
        </w:rPr>
      </w:pPr>
      <w:r w:rsidRPr="00B41C68">
        <w:rPr>
          <w:rFonts w:ascii="Arial" w:hAnsi="Arial" w:cs="Arial"/>
          <w:u w:val="single"/>
        </w:rPr>
        <w:t>Experience</w:t>
      </w:r>
    </w:p>
    <w:p w14:paraId="49F54ED5" w14:textId="77777777" w:rsidR="00952C49" w:rsidRDefault="00952C49" w:rsidP="00952C49">
      <w:pPr>
        <w:pStyle w:val="ListParagraph"/>
        <w:widowControl w:val="0"/>
        <w:numPr>
          <w:ilvl w:val="0"/>
          <w:numId w:val="22"/>
        </w:numPr>
        <w:jc w:val="both"/>
        <w:rPr>
          <w:rFonts w:ascii="Arial" w:hAnsi="Arial" w:cs="Arial"/>
          <w:sz w:val="18"/>
          <w:szCs w:val="18"/>
        </w:rPr>
      </w:pPr>
      <w:r w:rsidRPr="008E2D17">
        <w:rPr>
          <w:rFonts w:ascii="Arial" w:hAnsi="Arial" w:cs="Arial"/>
          <w:sz w:val="18"/>
          <w:szCs w:val="18"/>
        </w:rPr>
        <w:t xml:space="preserve">Three to Five years of progressively responsible professional work experience </w:t>
      </w:r>
      <w:r w:rsidRPr="00F60621">
        <w:rPr>
          <w:rFonts w:ascii="Arial" w:hAnsi="Arial" w:cs="Arial"/>
          <w:sz w:val="18"/>
          <w:szCs w:val="18"/>
        </w:rPr>
        <w:t>in the UN or other international development organization, national go</w:t>
      </w:r>
      <w:r>
        <w:rPr>
          <w:rFonts w:ascii="Arial" w:hAnsi="Arial" w:cs="Arial"/>
          <w:sz w:val="18"/>
          <w:szCs w:val="18"/>
        </w:rPr>
        <w:t>vernment or the private sector;</w:t>
      </w:r>
    </w:p>
    <w:p w14:paraId="62DE2927" w14:textId="77777777" w:rsidR="00952C49" w:rsidRDefault="00952C49" w:rsidP="00952C49">
      <w:pPr>
        <w:pStyle w:val="ListParagraph"/>
        <w:widowControl w:val="0"/>
        <w:numPr>
          <w:ilvl w:val="0"/>
          <w:numId w:val="22"/>
        </w:numPr>
        <w:jc w:val="both"/>
        <w:rPr>
          <w:rFonts w:ascii="Arial" w:hAnsi="Arial" w:cs="Arial"/>
          <w:sz w:val="18"/>
          <w:szCs w:val="18"/>
        </w:rPr>
      </w:pPr>
      <w:r>
        <w:rPr>
          <w:rFonts w:ascii="Arial" w:hAnsi="Arial" w:cs="Arial"/>
          <w:sz w:val="18"/>
          <w:szCs w:val="18"/>
        </w:rPr>
        <w:t>Familiarity with Pacific WASH Sector partners and programmes;</w:t>
      </w:r>
    </w:p>
    <w:p w14:paraId="7FDDACF5" w14:textId="77777777" w:rsidR="00952C49" w:rsidRDefault="00952C49" w:rsidP="00952C49">
      <w:pPr>
        <w:pStyle w:val="ListParagraph"/>
        <w:widowControl w:val="0"/>
        <w:numPr>
          <w:ilvl w:val="0"/>
          <w:numId w:val="22"/>
        </w:numPr>
        <w:jc w:val="both"/>
        <w:rPr>
          <w:rFonts w:ascii="Arial" w:hAnsi="Arial" w:cs="Arial"/>
          <w:sz w:val="18"/>
          <w:szCs w:val="18"/>
        </w:rPr>
      </w:pPr>
      <w:r>
        <w:rPr>
          <w:rFonts w:ascii="Arial" w:hAnsi="Arial" w:cs="Arial"/>
          <w:sz w:val="18"/>
          <w:szCs w:val="18"/>
        </w:rPr>
        <w:t>Experience on WASH in Schools programmes focusing on hygiene behavior improvements;</w:t>
      </w:r>
    </w:p>
    <w:p w14:paraId="76413381" w14:textId="77777777" w:rsidR="00952C49" w:rsidRPr="00F60621" w:rsidRDefault="00952C49" w:rsidP="00952C49">
      <w:pPr>
        <w:pStyle w:val="ListParagraph"/>
        <w:widowControl w:val="0"/>
        <w:numPr>
          <w:ilvl w:val="0"/>
          <w:numId w:val="22"/>
        </w:numPr>
        <w:jc w:val="both"/>
        <w:rPr>
          <w:rFonts w:ascii="Arial" w:hAnsi="Arial" w:cs="Arial"/>
          <w:sz w:val="18"/>
          <w:szCs w:val="18"/>
        </w:rPr>
      </w:pPr>
      <w:r>
        <w:rPr>
          <w:rFonts w:ascii="Arial" w:hAnsi="Arial" w:cs="Arial"/>
          <w:sz w:val="18"/>
          <w:szCs w:val="18"/>
        </w:rPr>
        <w:t>Experience on WASH Resilience and Drinking Water Safety and Security Planning</w:t>
      </w:r>
    </w:p>
    <w:p w14:paraId="3E61C97C" w14:textId="77777777" w:rsidR="00952C49" w:rsidRPr="00F60621" w:rsidRDefault="00952C49" w:rsidP="00952C49">
      <w:pPr>
        <w:pStyle w:val="ListParagraph"/>
        <w:widowControl w:val="0"/>
        <w:numPr>
          <w:ilvl w:val="0"/>
          <w:numId w:val="22"/>
        </w:numPr>
        <w:jc w:val="both"/>
        <w:rPr>
          <w:rFonts w:ascii="Arial" w:hAnsi="Arial" w:cs="Arial"/>
          <w:sz w:val="18"/>
          <w:szCs w:val="18"/>
        </w:rPr>
      </w:pPr>
      <w:r w:rsidRPr="00F60621">
        <w:rPr>
          <w:rFonts w:ascii="Arial" w:hAnsi="Arial" w:cs="Arial"/>
          <w:sz w:val="18"/>
          <w:szCs w:val="18"/>
        </w:rPr>
        <w:t xml:space="preserve">Background/familiarity with Emergency (preparedness and response) and the </w:t>
      </w:r>
      <w:r>
        <w:rPr>
          <w:rFonts w:ascii="Arial" w:hAnsi="Arial" w:cs="Arial"/>
          <w:sz w:val="18"/>
          <w:szCs w:val="18"/>
        </w:rPr>
        <w:t>WASH Cluster approach;</w:t>
      </w:r>
    </w:p>
    <w:p w14:paraId="487B69FF" w14:textId="77777777" w:rsidR="00952C49" w:rsidRPr="00F60621" w:rsidRDefault="00952C49" w:rsidP="00952C49">
      <w:pPr>
        <w:pStyle w:val="ListParagraph"/>
        <w:widowControl w:val="0"/>
        <w:numPr>
          <w:ilvl w:val="0"/>
          <w:numId w:val="22"/>
        </w:numPr>
        <w:spacing w:line="240" w:lineRule="atLeast"/>
        <w:jc w:val="both"/>
        <w:rPr>
          <w:rFonts w:ascii="Arial" w:hAnsi="Arial" w:cs="Arial"/>
          <w:sz w:val="18"/>
          <w:szCs w:val="18"/>
        </w:rPr>
      </w:pPr>
      <w:r w:rsidRPr="00F60621">
        <w:rPr>
          <w:rFonts w:ascii="Arial" w:hAnsi="Arial" w:cs="Arial"/>
          <w:sz w:val="18"/>
          <w:szCs w:val="18"/>
        </w:rPr>
        <w:t xml:space="preserve">Methodology </w:t>
      </w:r>
      <w:r>
        <w:rPr>
          <w:rFonts w:ascii="Arial" w:hAnsi="Arial" w:cs="Arial"/>
          <w:sz w:val="18"/>
          <w:szCs w:val="18"/>
        </w:rPr>
        <w:t>of programme/project management;</w:t>
      </w:r>
    </w:p>
    <w:p w14:paraId="419E2E35" w14:textId="77777777" w:rsidR="00952C49" w:rsidRPr="00F60621" w:rsidRDefault="00952C49" w:rsidP="00952C49">
      <w:pPr>
        <w:pStyle w:val="ListParagraph"/>
        <w:widowControl w:val="0"/>
        <w:numPr>
          <w:ilvl w:val="0"/>
          <w:numId w:val="22"/>
        </w:numPr>
        <w:spacing w:line="240" w:lineRule="atLeast"/>
        <w:jc w:val="both"/>
        <w:rPr>
          <w:rFonts w:ascii="Arial" w:hAnsi="Arial" w:cs="Arial"/>
          <w:sz w:val="18"/>
          <w:szCs w:val="18"/>
        </w:rPr>
      </w:pPr>
      <w:r w:rsidRPr="00F60621">
        <w:rPr>
          <w:rFonts w:ascii="Arial" w:hAnsi="Arial" w:cs="Arial"/>
          <w:sz w:val="18"/>
          <w:szCs w:val="18"/>
        </w:rPr>
        <w:t>Knowledge of global human rights issues, specifically relating to children and women, and the current UNICEF positions and approaches.</w:t>
      </w:r>
    </w:p>
    <w:p w14:paraId="0322D4B5" w14:textId="77777777" w:rsidR="00B41C68" w:rsidRDefault="00B41C68"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3507282" w14:textId="77777777" w:rsidR="00952C49" w:rsidRPr="00F60621" w:rsidRDefault="00952C49" w:rsidP="00952C49">
      <w:pPr>
        <w:pStyle w:val="ListParagraph"/>
        <w:widowControl w:val="0"/>
        <w:numPr>
          <w:ilvl w:val="0"/>
          <w:numId w:val="23"/>
        </w:numPr>
        <w:rPr>
          <w:rFonts w:ascii="Arial" w:hAnsi="Arial" w:cs="Arial"/>
          <w:sz w:val="18"/>
          <w:szCs w:val="18"/>
        </w:rPr>
      </w:pPr>
      <w:r w:rsidRPr="00F60621">
        <w:rPr>
          <w:rFonts w:ascii="Arial" w:hAnsi="Arial" w:cs="Arial"/>
          <w:sz w:val="18"/>
          <w:szCs w:val="18"/>
        </w:rPr>
        <w:t xml:space="preserve">Fluency in English and knowledge of the Fijian or Hindi </w:t>
      </w:r>
      <w:r>
        <w:rPr>
          <w:rFonts w:ascii="Arial" w:hAnsi="Arial" w:cs="Arial"/>
          <w:sz w:val="18"/>
          <w:szCs w:val="18"/>
        </w:rPr>
        <w:t xml:space="preserve">or other Pacific languages </w:t>
      </w:r>
      <w:r w:rsidRPr="00F60621">
        <w:rPr>
          <w:rFonts w:ascii="Arial" w:hAnsi="Arial" w:cs="Arial"/>
          <w:sz w:val="18"/>
          <w:szCs w:val="18"/>
        </w:rPr>
        <w:t>is an asset.</w:t>
      </w:r>
    </w:p>
    <w:p w14:paraId="307B91E6" w14:textId="77777777" w:rsidR="00B41C68" w:rsidRDefault="00B41C68"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05CC0AB0" w14:textId="77777777" w:rsidR="0060284E" w:rsidRDefault="0060284E" w:rsidP="0060284E">
            <w:pPr>
              <w:pStyle w:val="ListParagraph"/>
              <w:numPr>
                <w:ilvl w:val="0"/>
                <w:numId w:val="23"/>
              </w:numPr>
              <w:rPr>
                <w:rFonts w:ascii="Arial" w:hAnsi="Arial" w:cs="Arial"/>
                <w:sz w:val="18"/>
                <w:szCs w:val="18"/>
              </w:rPr>
            </w:pPr>
            <w:r w:rsidRPr="0060284E">
              <w:rPr>
                <w:rFonts w:ascii="Arial" w:hAnsi="Arial" w:cs="Arial"/>
                <w:sz w:val="18"/>
                <w:szCs w:val="18"/>
              </w:rPr>
              <w:t>Knowledge of Water, Sanitation and Hygiene areas of UNICEF’s programme.</w:t>
            </w:r>
          </w:p>
          <w:p w14:paraId="20342756" w14:textId="6A94223D" w:rsidR="0060284E" w:rsidRPr="0060284E" w:rsidRDefault="0060284E" w:rsidP="0060284E">
            <w:pPr>
              <w:pStyle w:val="ListParagraph"/>
              <w:numPr>
                <w:ilvl w:val="0"/>
                <w:numId w:val="23"/>
              </w:numPr>
              <w:rPr>
                <w:rFonts w:ascii="Arial" w:hAnsi="Arial" w:cs="Arial"/>
                <w:sz w:val="18"/>
                <w:szCs w:val="18"/>
              </w:rPr>
            </w:pPr>
            <w:r w:rsidRPr="0060284E">
              <w:rPr>
                <w:rFonts w:ascii="Arial" w:hAnsi="Arial" w:cs="Arial"/>
                <w:sz w:val="18"/>
                <w:szCs w:val="18"/>
              </w:rPr>
              <w:t xml:space="preserve">Technical Knowledge of the theories, principles and methods in the following areas: WASH in schools, water supply project management, monitoring and evaluation, integrated water resource management, water supply and sanitation technologies, </w:t>
            </w:r>
            <w:r>
              <w:rPr>
                <w:rFonts w:ascii="Arial" w:hAnsi="Arial" w:cs="Arial"/>
                <w:sz w:val="18"/>
                <w:szCs w:val="18"/>
              </w:rPr>
              <w:t xml:space="preserve">humanitarian, climate change/climate resilience, </w:t>
            </w:r>
            <w:r w:rsidRPr="0060284E">
              <w:rPr>
                <w:rFonts w:ascii="Arial" w:hAnsi="Arial" w:cs="Arial"/>
                <w:sz w:val="18"/>
                <w:szCs w:val="18"/>
              </w:rPr>
              <w:t>and community based water supply and sanitation.</w:t>
            </w:r>
          </w:p>
          <w:p w14:paraId="469051C8" w14:textId="77777777" w:rsidR="000C7B54" w:rsidRPr="00DF762E" w:rsidRDefault="000C7B54" w:rsidP="000C7B54">
            <w:pPr>
              <w:rPr>
                <w:rFonts w:ascii="Arial" w:hAnsi="Arial" w:cs="Arial"/>
              </w:rPr>
            </w:pPr>
          </w:p>
          <w:p w14:paraId="7B5DA324" w14:textId="554EB2CE" w:rsidR="000C7B54" w:rsidRPr="00DF762E" w:rsidRDefault="000C7B54" w:rsidP="000C7B54">
            <w:pPr>
              <w:autoSpaceDE w:val="0"/>
              <w:autoSpaceDN w:val="0"/>
              <w:adjustRightInd w:val="0"/>
              <w:spacing w:before="120"/>
              <w:rPr>
                <w:rFonts w:ascii="Arial" w:hAnsi="Arial" w:cs="Arial"/>
              </w:rPr>
            </w:pPr>
          </w:p>
        </w:tc>
      </w:tr>
      <w:tr w:rsidR="000C7B54" w:rsidRPr="00DF762E" w14:paraId="031B0075" w14:textId="77777777" w:rsidTr="00B41C68">
        <w:trPr>
          <w:trHeight w:val="1069"/>
        </w:trPr>
        <w:tc>
          <w:tcPr>
            <w:tcW w:w="10131" w:type="dxa"/>
            <w:tcBorders>
              <w:top w:val="nil"/>
            </w:tcBorders>
            <w:shd w:val="clear" w:color="auto" w:fill="auto"/>
          </w:tcPr>
          <w:p w14:paraId="60283F8D" w14:textId="77777777" w:rsidR="000C7B54" w:rsidRPr="00DF762E" w:rsidRDefault="000C7B54" w:rsidP="000C7B54">
            <w:pPr>
              <w:autoSpaceDE w:val="0"/>
              <w:autoSpaceDN w:val="0"/>
              <w:adjustRightInd w:val="0"/>
              <w:spacing w:before="120"/>
              <w:rPr>
                <w:rFonts w:ascii="Arial" w:hAnsi="Arial" w:cs="Arial"/>
              </w:rPr>
            </w:pPr>
          </w:p>
        </w:tc>
      </w:tr>
    </w:tbl>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3F157F">
      <w:pPr>
        <w:numPr>
          <w:ilvl w:val="0"/>
          <w:numId w:val="20"/>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lastRenderedPageBreak/>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3F157F">
      <w:pPr>
        <w:numPr>
          <w:ilvl w:val="0"/>
          <w:numId w:val="21"/>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3F157F">
      <w:pPr>
        <w:numPr>
          <w:ilvl w:val="0"/>
          <w:numId w:val="21"/>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lastRenderedPageBreak/>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F880304" w14:textId="7814352F" w:rsidR="003F157F" w:rsidRPr="00D70127" w:rsidRDefault="003F157F" w:rsidP="00D70127">
      <w:pPr>
        <w:rPr>
          <w:rFonts w:ascii="Arial" w:hAnsi="Arial" w:cs="Arial"/>
        </w:rPr>
      </w:pPr>
      <w:bookmarkStart w:id="0" w:name="_GoBack"/>
      <w:bookmarkEnd w:id="0"/>
    </w:p>
    <w:sectPr w:rsidR="003F157F" w:rsidRPr="00D70127" w:rsidSect="00E72300">
      <w:footerReference w:type="default" r:id="rId8"/>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A7BC7" w14:textId="77777777" w:rsidR="00B27472" w:rsidRDefault="00B27472" w:rsidP="00ED306C">
      <w:r>
        <w:separator/>
      </w:r>
    </w:p>
  </w:endnote>
  <w:endnote w:type="continuationSeparator" w:id="0">
    <w:p w14:paraId="5E9EAB42" w14:textId="77777777" w:rsidR="00B27472" w:rsidRDefault="00B27472"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D70127">
          <w:rPr>
            <w:noProof/>
          </w:rPr>
          <w:t>1</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0B19" w14:textId="77777777" w:rsidR="00B27472" w:rsidRDefault="00B27472" w:rsidP="00ED306C">
      <w:r>
        <w:separator/>
      </w:r>
    </w:p>
  </w:footnote>
  <w:footnote w:type="continuationSeparator" w:id="0">
    <w:p w14:paraId="795EB9C7" w14:textId="77777777" w:rsidR="00B27472" w:rsidRDefault="00B27472"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C20746"/>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0B77B1"/>
    <w:multiLevelType w:val="hybridMultilevel"/>
    <w:tmpl w:val="16C8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4760B"/>
    <w:multiLevelType w:val="hybridMultilevel"/>
    <w:tmpl w:val="C66C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D12201"/>
    <w:multiLevelType w:val="hybridMultilevel"/>
    <w:tmpl w:val="D2E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26321"/>
    <w:multiLevelType w:val="hybridMultilevel"/>
    <w:tmpl w:val="AC42D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560D1"/>
    <w:multiLevelType w:val="hybridMultilevel"/>
    <w:tmpl w:val="E118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A4E9F"/>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6A60564"/>
    <w:multiLevelType w:val="hybridMultilevel"/>
    <w:tmpl w:val="17AA4830"/>
    <w:lvl w:ilvl="0" w:tplc="19121D38">
      <w:start w:val="1"/>
      <w:numFmt w:val="bullet"/>
      <w:lvlText w:val="-"/>
      <w:lvlJc w:val="left"/>
      <w:pPr>
        <w:tabs>
          <w:tab w:val="num" w:pos="1440"/>
        </w:tabs>
        <w:ind w:left="1440" w:hanging="720"/>
      </w:pPr>
      <w:rPr>
        <w:rFonts w:ascii="Arial" w:eastAsia="Times New Roman" w:hAnsi="Arial" w:cs="Wingding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667C"/>
    <w:multiLevelType w:val="hybridMultilevel"/>
    <w:tmpl w:val="9C8C2B16"/>
    <w:lvl w:ilvl="0" w:tplc="4A0AE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D2A1A"/>
    <w:multiLevelType w:val="multilevel"/>
    <w:tmpl w:val="088E687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143BB4"/>
    <w:multiLevelType w:val="multilevel"/>
    <w:tmpl w:val="5316CC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A0EA7"/>
    <w:multiLevelType w:val="hybridMultilevel"/>
    <w:tmpl w:val="41ACB51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F2F9C"/>
    <w:multiLevelType w:val="hybridMultilevel"/>
    <w:tmpl w:val="9226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4"/>
  </w:num>
  <w:num w:numId="4">
    <w:abstractNumId w:val="32"/>
  </w:num>
  <w:num w:numId="5">
    <w:abstractNumId w:val="5"/>
  </w:num>
  <w:num w:numId="6">
    <w:abstractNumId w:val="21"/>
  </w:num>
  <w:num w:numId="7">
    <w:abstractNumId w:val="33"/>
  </w:num>
  <w:num w:numId="8">
    <w:abstractNumId w:val="0"/>
  </w:num>
  <w:num w:numId="9">
    <w:abstractNumId w:val="28"/>
  </w:num>
  <w:num w:numId="10">
    <w:abstractNumId w:val="1"/>
  </w:num>
  <w:num w:numId="11">
    <w:abstractNumId w:val="29"/>
  </w:num>
  <w:num w:numId="12">
    <w:abstractNumId w:val="15"/>
  </w:num>
  <w:num w:numId="13">
    <w:abstractNumId w:val="14"/>
  </w:num>
  <w:num w:numId="14">
    <w:abstractNumId w:val="17"/>
  </w:num>
  <w:num w:numId="15">
    <w:abstractNumId w:val="11"/>
  </w:num>
  <w:num w:numId="16">
    <w:abstractNumId w:val="20"/>
  </w:num>
  <w:num w:numId="17">
    <w:abstractNumId w:val="19"/>
  </w:num>
  <w:num w:numId="18">
    <w:abstractNumId w:val="26"/>
  </w:num>
  <w:num w:numId="19">
    <w:abstractNumId w:val="2"/>
  </w:num>
  <w:num w:numId="20">
    <w:abstractNumId w:val="25"/>
  </w:num>
  <w:num w:numId="21">
    <w:abstractNumId w:val="23"/>
  </w:num>
  <w:num w:numId="22">
    <w:abstractNumId w:val="31"/>
  </w:num>
  <w:num w:numId="23">
    <w:abstractNumId w:val="7"/>
  </w:num>
  <w:num w:numId="24">
    <w:abstractNumId w:val="9"/>
  </w:num>
  <w:num w:numId="25">
    <w:abstractNumId w:val="16"/>
  </w:num>
  <w:num w:numId="26">
    <w:abstractNumId w:val="30"/>
  </w:num>
  <w:num w:numId="27">
    <w:abstractNumId w:val="18"/>
  </w:num>
  <w:num w:numId="28">
    <w:abstractNumId w:val="27"/>
  </w:num>
  <w:num w:numId="29">
    <w:abstractNumId w:val="10"/>
  </w:num>
  <w:num w:numId="30">
    <w:abstractNumId w:val="3"/>
  </w:num>
  <w:num w:numId="31">
    <w:abstractNumId w:val="6"/>
  </w:num>
  <w:num w:numId="32">
    <w:abstractNumId w:val="4"/>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44BCE"/>
    <w:rsid w:val="000547BF"/>
    <w:rsid w:val="000570A6"/>
    <w:rsid w:val="00057886"/>
    <w:rsid w:val="00062A20"/>
    <w:rsid w:val="0007737D"/>
    <w:rsid w:val="000907CA"/>
    <w:rsid w:val="00093D74"/>
    <w:rsid w:val="000B6745"/>
    <w:rsid w:val="000C230C"/>
    <w:rsid w:val="000C563B"/>
    <w:rsid w:val="000C7B54"/>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C7A4E"/>
    <w:rsid w:val="001D572A"/>
    <w:rsid w:val="001F5424"/>
    <w:rsid w:val="001F58DA"/>
    <w:rsid w:val="001F625A"/>
    <w:rsid w:val="001F70A8"/>
    <w:rsid w:val="00216B6E"/>
    <w:rsid w:val="002264D5"/>
    <w:rsid w:val="002265CA"/>
    <w:rsid w:val="00266D33"/>
    <w:rsid w:val="00270EF0"/>
    <w:rsid w:val="00274787"/>
    <w:rsid w:val="002A5F6F"/>
    <w:rsid w:val="002B14F9"/>
    <w:rsid w:val="002B1DFC"/>
    <w:rsid w:val="002C3611"/>
    <w:rsid w:val="002C463C"/>
    <w:rsid w:val="002C5D9E"/>
    <w:rsid w:val="002D5068"/>
    <w:rsid w:val="002E0929"/>
    <w:rsid w:val="002E2CF3"/>
    <w:rsid w:val="002E7B2A"/>
    <w:rsid w:val="00312B18"/>
    <w:rsid w:val="00315309"/>
    <w:rsid w:val="003351F0"/>
    <w:rsid w:val="0035084E"/>
    <w:rsid w:val="003530B1"/>
    <w:rsid w:val="00356D7A"/>
    <w:rsid w:val="00367036"/>
    <w:rsid w:val="00371200"/>
    <w:rsid w:val="0037210B"/>
    <w:rsid w:val="00373582"/>
    <w:rsid w:val="00382BE9"/>
    <w:rsid w:val="00386EAD"/>
    <w:rsid w:val="00391D60"/>
    <w:rsid w:val="00392C81"/>
    <w:rsid w:val="003A7261"/>
    <w:rsid w:val="003F157F"/>
    <w:rsid w:val="003F2042"/>
    <w:rsid w:val="003F4766"/>
    <w:rsid w:val="003F6E3F"/>
    <w:rsid w:val="0040021F"/>
    <w:rsid w:val="0040101E"/>
    <w:rsid w:val="00401643"/>
    <w:rsid w:val="004070C6"/>
    <w:rsid w:val="004101A9"/>
    <w:rsid w:val="00413CC1"/>
    <w:rsid w:val="0041640B"/>
    <w:rsid w:val="004251DC"/>
    <w:rsid w:val="0045103A"/>
    <w:rsid w:val="004531DA"/>
    <w:rsid w:val="00460F54"/>
    <w:rsid w:val="00494657"/>
    <w:rsid w:val="004A1E57"/>
    <w:rsid w:val="004B534E"/>
    <w:rsid w:val="004B6038"/>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77AE7"/>
    <w:rsid w:val="0058438F"/>
    <w:rsid w:val="005B21EA"/>
    <w:rsid w:val="005B7B69"/>
    <w:rsid w:val="005C697F"/>
    <w:rsid w:val="005D0219"/>
    <w:rsid w:val="005D3DBE"/>
    <w:rsid w:val="005D40BF"/>
    <w:rsid w:val="005D5049"/>
    <w:rsid w:val="005E087D"/>
    <w:rsid w:val="005E597B"/>
    <w:rsid w:val="005F1412"/>
    <w:rsid w:val="005F1CA4"/>
    <w:rsid w:val="0060284E"/>
    <w:rsid w:val="00612464"/>
    <w:rsid w:val="00614053"/>
    <w:rsid w:val="006264BE"/>
    <w:rsid w:val="00645CDD"/>
    <w:rsid w:val="0067648C"/>
    <w:rsid w:val="00691330"/>
    <w:rsid w:val="006A128E"/>
    <w:rsid w:val="006B1F24"/>
    <w:rsid w:val="006C099E"/>
    <w:rsid w:val="006E5049"/>
    <w:rsid w:val="006F067C"/>
    <w:rsid w:val="00700D61"/>
    <w:rsid w:val="007023B9"/>
    <w:rsid w:val="007027D6"/>
    <w:rsid w:val="007106C3"/>
    <w:rsid w:val="007233CA"/>
    <w:rsid w:val="0073152A"/>
    <w:rsid w:val="007317E7"/>
    <w:rsid w:val="00742424"/>
    <w:rsid w:val="00747447"/>
    <w:rsid w:val="00753023"/>
    <w:rsid w:val="00760E7B"/>
    <w:rsid w:val="00762982"/>
    <w:rsid w:val="00774F84"/>
    <w:rsid w:val="00791100"/>
    <w:rsid w:val="007927F5"/>
    <w:rsid w:val="007972CE"/>
    <w:rsid w:val="007B6D43"/>
    <w:rsid w:val="007C1A0B"/>
    <w:rsid w:val="007C1E56"/>
    <w:rsid w:val="007C6F45"/>
    <w:rsid w:val="007E0082"/>
    <w:rsid w:val="007E1C2C"/>
    <w:rsid w:val="007E6A0E"/>
    <w:rsid w:val="007E7372"/>
    <w:rsid w:val="00800A30"/>
    <w:rsid w:val="00806209"/>
    <w:rsid w:val="008311FF"/>
    <w:rsid w:val="008348BC"/>
    <w:rsid w:val="00835B8E"/>
    <w:rsid w:val="008373DD"/>
    <w:rsid w:val="008438B4"/>
    <w:rsid w:val="008506FB"/>
    <w:rsid w:val="00856B3A"/>
    <w:rsid w:val="00864E89"/>
    <w:rsid w:val="008672CE"/>
    <w:rsid w:val="00887F35"/>
    <w:rsid w:val="008A7F49"/>
    <w:rsid w:val="008B4261"/>
    <w:rsid w:val="008C5423"/>
    <w:rsid w:val="008C78C7"/>
    <w:rsid w:val="008E0E2D"/>
    <w:rsid w:val="008E1F12"/>
    <w:rsid w:val="008E2D9C"/>
    <w:rsid w:val="008E5D3B"/>
    <w:rsid w:val="008E72E1"/>
    <w:rsid w:val="008F373E"/>
    <w:rsid w:val="008F6C1B"/>
    <w:rsid w:val="0090109E"/>
    <w:rsid w:val="00903F65"/>
    <w:rsid w:val="00904684"/>
    <w:rsid w:val="0091163C"/>
    <w:rsid w:val="0091254C"/>
    <w:rsid w:val="00914D6A"/>
    <w:rsid w:val="00915925"/>
    <w:rsid w:val="00916F94"/>
    <w:rsid w:val="00923F4D"/>
    <w:rsid w:val="009246F4"/>
    <w:rsid w:val="00933903"/>
    <w:rsid w:val="00935703"/>
    <w:rsid w:val="00944013"/>
    <w:rsid w:val="00952C49"/>
    <w:rsid w:val="00957B09"/>
    <w:rsid w:val="00961675"/>
    <w:rsid w:val="009638F8"/>
    <w:rsid w:val="0096722B"/>
    <w:rsid w:val="00985032"/>
    <w:rsid w:val="009E1ABD"/>
    <w:rsid w:val="009F2CE8"/>
    <w:rsid w:val="009F2DEC"/>
    <w:rsid w:val="009F37C0"/>
    <w:rsid w:val="009F40E7"/>
    <w:rsid w:val="009F6621"/>
    <w:rsid w:val="00A0538A"/>
    <w:rsid w:val="00A30D86"/>
    <w:rsid w:val="00A41BC0"/>
    <w:rsid w:val="00A43BCD"/>
    <w:rsid w:val="00A47AF8"/>
    <w:rsid w:val="00A53B7E"/>
    <w:rsid w:val="00A67C1D"/>
    <w:rsid w:val="00A70C13"/>
    <w:rsid w:val="00A72A68"/>
    <w:rsid w:val="00A96381"/>
    <w:rsid w:val="00AD734D"/>
    <w:rsid w:val="00AE3BC4"/>
    <w:rsid w:val="00AF1571"/>
    <w:rsid w:val="00AF45BA"/>
    <w:rsid w:val="00B27472"/>
    <w:rsid w:val="00B34967"/>
    <w:rsid w:val="00B41C68"/>
    <w:rsid w:val="00B55EF2"/>
    <w:rsid w:val="00B8379C"/>
    <w:rsid w:val="00B86AC9"/>
    <w:rsid w:val="00B86E2D"/>
    <w:rsid w:val="00B91DF3"/>
    <w:rsid w:val="00B9252C"/>
    <w:rsid w:val="00BA4503"/>
    <w:rsid w:val="00BD6119"/>
    <w:rsid w:val="00BE5953"/>
    <w:rsid w:val="00BF0881"/>
    <w:rsid w:val="00BF3C90"/>
    <w:rsid w:val="00BF5021"/>
    <w:rsid w:val="00C01515"/>
    <w:rsid w:val="00C22307"/>
    <w:rsid w:val="00C2518D"/>
    <w:rsid w:val="00C42594"/>
    <w:rsid w:val="00C466B0"/>
    <w:rsid w:val="00C5082B"/>
    <w:rsid w:val="00C53057"/>
    <w:rsid w:val="00C56CD6"/>
    <w:rsid w:val="00C83CC1"/>
    <w:rsid w:val="00CA1959"/>
    <w:rsid w:val="00CA6B11"/>
    <w:rsid w:val="00CB7CB1"/>
    <w:rsid w:val="00CB7F72"/>
    <w:rsid w:val="00CC4398"/>
    <w:rsid w:val="00CD1722"/>
    <w:rsid w:val="00CE5498"/>
    <w:rsid w:val="00CF29BE"/>
    <w:rsid w:val="00CF3E8D"/>
    <w:rsid w:val="00CF5DBF"/>
    <w:rsid w:val="00D0593A"/>
    <w:rsid w:val="00D21216"/>
    <w:rsid w:val="00D21CB2"/>
    <w:rsid w:val="00D330F9"/>
    <w:rsid w:val="00D36CD1"/>
    <w:rsid w:val="00D46C07"/>
    <w:rsid w:val="00D60AB2"/>
    <w:rsid w:val="00D60D94"/>
    <w:rsid w:val="00D70127"/>
    <w:rsid w:val="00D7548A"/>
    <w:rsid w:val="00DA0D23"/>
    <w:rsid w:val="00DB06E6"/>
    <w:rsid w:val="00DB1FE3"/>
    <w:rsid w:val="00DC442E"/>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2300"/>
    <w:rsid w:val="00E772DC"/>
    <w:rsid w:val="00E877F1"/>
    <w:rsid w:val="00E90E69"/>
    <w:rsid w:val="00ED306C"/>
    <w:rsid w:val="00EE0FDC"/>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basedOn w:val="Normal"/>
    <w:link w:val="FootnoteTextChar"/>
    <w:rsid w:val="00952C49"/>
    <w:rPr>
      <w:rFonts w:eastAsia="MS Mincho"/>
      <w:lang w:val="x-none" w:eastAsia="ja-JP"/>
    </w:rPr>
  </w:style>
  <w:style w:type="character" w:customStyle="1" w:styleId="FootnoteTextChar">
    <w:name w:val="Footnote Text Char"/>
    <w:basedOn w:val="DefaultParagraphFont"/>
    <w:link w:val="FootnoteText"/>
    <w:rsid w:val="00952C49"/>
    <w:rPr>
      <w:rFonts w:eastAsia="MS Mincho"/>
      <w:lang w:val="x-none" w:eastAsia="ja-JP"/>
    </w:rPr>
  </w:style>
  <w:style w:type="character" w:styleId="FootnoteReference">
    <w:name w:val="footnote reference"/>
    <w:uiPriority w:val="99"/>
    <w:rsid w:val="00952C49"/>
    <w:rPr>
      <w:vertAlign w:val="superscript"/>
    </w:rPr>
  </w:style>
  <w:style w:type="character" w:customStyle="1" w:styleId="ListParagraphChar">
    <w:name w:val="List Paragraph Char"/>
    <w:link w:val="ListParagraph"/>
    <w:uiPriority w:val="34"/>
    <w:rsid w:val="0095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3025</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3</cp:revision>
  <cp:lastPrinted>2016-10-27T04:06:00Z</cp:lastPrinted>
  <dcterms:created xsi:type="dcterms:W3CDTF">2016-11-02T03:18:00Z</dcterms:created>
  <dcterms:modified xsi:type="dcterms:W3CDTF">2016-11-02T03:19:00Z</dcterms:modified>
</cp:coreProperties>
</file>