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84822" w14:textId="083F8C5E" w:rsidR="00A1417B" w:rsidRPr="00A1417B" w:rsidRDefault="00B14BE6" w:rsidP="00A1417B">
      <w:pPr>
        <w:jc w:val="center"/>
        <w:rPr>
          <w:rFonts w:ascii="Calibri" w:hAnsi="Calibri" w:cs="Calibri"/>
          <w:b/>
          <w:bCs/>
          <w:color w:val="00B0F0"/>
          <w:sz w:val="24"/>
          <w:szCs w:val="24"/>
          <w:u w:val="single"/>
        </w:rP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575"/>
        <w:gridCol w:w="4140"/>
      </w:tblGrid>
      <w:tr w:rsidR="000A01CE" w:rsidRPr="007613B3" w14:paraId="523C54D2" w14:textId="77777777" w:rsidTr="000A01CE">
        <w:tc>
          <w:tcPr>
            <w:tcW w:w="5575" w:type="dxa"/>
            <w:tcBorders>
              <w:bottom w:val="nil"/>
            </w:tcBorders>
            <w:shd w:val="clear" w:color="auto" w:fill="auto"/>
            <w:noWrap/>
            <w:hideMark/>
          </w:tcPr>
          <w:p w14:paraId="5B12A891" w14:textId="5D7CD599" w:rsidR="000A01CE" w:rsidRPr="001E479E" w:rsidRDefault="000A01CE" w:rsidP="00FF5A1E">
            <w:pPr>
              <w:spacing w:before="100" w:beforeAutospacing="1" w:after="100" w:afterAutospacing="1" w:line="240" w:lineRule="auto"/>
              <w:jc w:val="both"/>
              <w:rPr>
                <w:rFonts w:ascii="Calibri" w:eastAsia="Arial Unicode MS" w:hAnsi="Calibri" w:cs="Calibri"/>
                <w:bCs/>
                <w:color w:val="auto"/>
                <w:lang w:val="fr-FR"/>
              </w:rPr>
            </w:pPr>
            <w:proofErr w:type="spellStart"/>
            <w:proofErr w:type="gramStart"/>
            <w:r w:rsidRPr="001E479E">
              <w:rPr>
                <w:rFonts w:ascii="Calibri" w:eastAsia="Arial Unicode MS" w:hAnsi="Calibri" w:cs="Calibri"/>
                <w:b/>
                <w:color w:val="auto"/>
                <w:lang w:val="fr-FR"/>
              </w:rPr>
              <w:t>Title</w:t>
            </w:r>
            <w:proofErr w:type="spellEnd"/>
            <w:r w:rsidRPr="001E479E">
              <w:rPr>
                <w:rFonts w:ascii="Calibri" w:eastAsia="Arial Unicode MS" w:hAnsi="Calibri" w:cs="Calibri"/>
                <w:b/>
                <w:color w:val="auto"/>
                <w:lang w:val="fr-FR"/>
              </w:rPr>
              <w:t>:</w:t>
            </w:r>
            <w:proofErr w:type="gramEnd"/>
            <w:r w:rsidRPr="001E479E">
              <w:rPr>
                <w:rFonts w:ascii="Calibri" w:eastAsia="Arial Unicode MS" w:hAnsi="Calibri" w:cs="Calibri"/>
                <w:b/>
                <w:color w:val="auto"/>
                <w:lang w:val="fr-FR"/>
              </w:rPr>
              <w:t xml:space="preserve"> </w:t>
            </w:r>
            <w:r w:rsidRPr="001E479E">
              <w:rPr>
                <w:color w:val="auto"/>
                <w:sz w:val="24"/>
                <w:szCs w:val="24"/>
                <w:lang w:val="fr-FR"/>
              </w:rPr>
              <w:t xml:space="preserve"> </w:t>
            </w:r>
            <w:r w:rsidRPr="001E479E">
              <w:rPr>
                <w:rFonts w:ascii="Calibri" w:eastAsia="Arial Unicode MS" w:hAnsi="Calibri" w:cs="Calibri"/>
                <w:bCs/>
                <w:color w:val="auto"/>
                <w:lang w:val="fr-FR"/>
              </w:rPr>
              <w:t>Consultant International pour le renforcement des capacités des cadres du MENRS sur la production des statistiques de qualité</w:t>
            </w:r>
          </w:p>
          <w:p w14:paraId="75D9A581" w14:textId="77777777" w:rsidR="000A01CE" w:rsidRPr="001E479E" w:rsidRDefault="000A01CE" w:rsidP="00377BF5">
            <w:pPr>
              <w:spacing w:before="100" w:beforeAutospacing="1" w:after="100" w:afterAutospacing="1" w:line="240" w:lineRule="auto"/>
              <w:rPr>
                <w:rFonts w:ascii="Calibri" w:eastAsia="Arial Unicode MS" w:hAnsi="Calibri" w:cs="Calibri"/>
                <w:color w:val="auto"/>
                <w:lang w:val="fr-FR"/>
              </w:rPr>
            </w:pPr>
          </w:p>
        </w:tc>
        <w:tc>
          <w:tcPr>
            <w:tcW w:w="4140" w:type="dxa"/>
            <w:tcBorders>
              <w:bottom w:val="nil"/>
            </w:tcBorders>
            <w:shd w:val="clear" w:color="auto" w:fill="auto"/>
          </w:tcPr>
          <w:p w14:paraId="2302C863" w14:textId="77777777" w:rsidR="000A01CE" w:rsidRPr="001E479E" w:rsidRDefault="000A01CE" w:rsidP="00377BF5">
            <w:pPr>
              <w:spacing w:before="100" w:beforeAutospacing="1" w:after="100" w:afterAutospacing="1" w:line="240" w:lineRule="auto"/>
              <w:rPr>
                <w:rFonts w:ascii="Calibri" w:eastAsia="Arial Unicode MS" w:hAnsi="Calibri" w:cs="Calibri"/>
                <w:b/>
                <w:color w:val="auto"/>
                <w:lang w:val="en-AU"/>
              </w:rPr>
            </w:pPr>
            <w:r w:rsidRPr="001E479E">
              <w:rPr>
                <w:rFonts w:ascii="Calibri" w:eastAsia="Arial Unicode MS" w:hAnsi="Calibri" w:cs="Calibri"/>
                <w:b/>
                <w:color w:val="auto"/>
                <w:lang w:val="en-AU"/>
              </w:rPr>
              <w:t>Duty Station:</w:t>
            </w:r>
          </w:p>
          <w:p w14:paraId="3CCE5269" w14:textId="0E043B02" w:rsidR="000A01CE" w:rsidRPr="001E479E" w:rsidRDefault="000A01CE" w:rsidP="00377BF5">
            <w:pPr>
              <w:spacing w:before="100" w:beforeAutospacing="1" w:after="100" w:afterAutospacing="1" w:line="240" w:lineRule="auto"/>
              <w:rPr>
                <w:rFonts w:ascii="Calibri" w:eastAsia="Arial Unicode MS" w:hAnsi="Calibri" w:cs="Calibri"/>
                <w:color w:val="auto"/>
                <w:lang w:val="en-AU"/>
              </w:rPr>
            </w:pPr>
            <w:r w:rsidRPr="001E479E">
              <w:rPr>
                <w:rFonts w:ascii="Calibri" w:eastAsia="Arial Unicode MS" w:hAnsi="Calibri" w:cs="Calibri"/>
                <w:color w:val="auto"/>
                <w:lang w:val="en-AU"/>
              </w:rPr>
              <w:t>Bujumbura</w:t>
            </w:r>
          </w:p>
        </w:tc>
      </w:tr>
      <w:tr w:rsidR="007613B3" w:rsidRPr="000A01CE" w14:paraId="2F971280" w14:textId="77777777" w:rsidTr="000A01CE">
        <w:trPr>
          <w:trHeight w:val="828"/>
        </w:trPr>
        <w:tc>
          <w:tcPr>
            <w:tcW w:w="9715" w:type="dxa"/>
            <w:gridSpan w:val="2"/>
            <w:tcBorders>
              <w:bottom w:val="nil"/>
            </w:tcBorders>
            <w:shd w:val="clear" w:color="auto" w:fill="auto"/>
            <w:noWrap/>
            <w:hideMark/>
          </w:tcPr>
          <w:p w14:paraId="30C0C19D" w14:textId="77777777" w:rsidR="00EE2FEF" w:rsidRPr="001E479E" w:rsidRDefault="007613B3" w:rsidP="00EE2FEF">
            <w:pPr>
              <w:spacing w:before="60" w:after="60" w:line="240" w:lineRule="auto"/>
              <w:rPr>
                <w:rFonts w:ascii="Calibri" w:eastAsia="Arial Unicode MS" w:hAnsi="Calibri" w:cs="Calibri"/>
                <w:b/>
                <w:color w:val="auto"/>
                <w:lang w:val="fr-FR"/>
              </w:rPr>
            </w:pPr>
            <w:proofErr w:type="spellStart"/>
            <w:r w:rsidRPr="001E479E">
              <w:rPr>
                <w:rFonts w:ascii="Calibri" w:eastAsia="Arial Unicode MS" w:hAnsi="Calibri" w:cs="Calibri"/>
                <w:b/>
                <w:color w:val="auto"/>
                <w:lang w:val="fr-FR"/>
              </w:rPr>
              <w:t>Purpose</w:t>
            </w:r>
            <w:proofErr w:type="spellEnd"/>
            <w:r w:rsidRPr="001E479E">
              <w:rPr>
                <w:rFonts w:ascii="Calibri" w:eastAsia="Arial Unicode MS" w:hAnsi="Calibri" w:cs="Calibri"/>
                <w:b/>
                <w:color w:val="auto"/>
                <w:lang w:val="fr-FR"/>
              </w:rPr>
              <w:t xml:space="preserve"> of Activity/</w:t>
            </w:r>
            <w:proofErr w:type="spellStart"/>
            <w:proofErr w:type="gramStart"/>
            <w:r w:rsidRPr="001E479E">
              <w:rPr>
                <w:rFonts w:ascii="Calibri" w:eastAsia="Arial Unicode MS" w:hAnsi="Calibri" w:cs="Calibri"/>
                <w:b/>
                <w:color w:val="auto"/>
                <w:lang w:val="fr-FR"/>
              </w:rPr>
              <w:t>Assignment</w:t>
            </w:r>
            <w:proofErr w:type="spellEnd"/>
            <w:r w:rsidRPr="001E479E">
              <w:rPr>
                <w:rFonts w:ascii="Calibri" w:eastAsia="Arial Unicode MS" w:hAnsi="Calibri" w:cs="Calibri"/>
                <w:b/>
                <w:color w:val="auto"/>
                <w:lang w:val="fr-FR"/>
              </w:rPr>
              <w:t>:</w:t>
            </w:r>
            <w:proofErr w:type="gramEnd"/>
            <w:r w:rsidRPr="001E479E">
              <w:rPr>
                <w:rFonts w:ascii="Calibri" w:eastAsia="Arial Unicode MS" w:hAnsi="Calibri" w:cs="Calibri"/>
                <w:b/>
                <w:color w:val="auto"/>
                <w:lang w:val="fr-FR"/>
              </w:rPr>
              <w:t xml:space="preserve"> </w:t>
            </w:r>
          </w:p>
          <w:p w14:paraId="2270784D" w14:textId="29BF738D" w:rsidR="00DF5326" w:rsidRPr="001E479E" w:rsidRDefault="00DF5326" w:rsidP="00EE2FEF">
            <w:pPr>
              <w:spacing w:before="60" w:after="60" w:line="240" w:lineRule="auto"/>
              <w:rPr>
                <w:rFonts w:ascii="Calibri" w:eastAsia="Arial Unicode MS" w:hAnsi="Calibri" w:cs="Calibri"/>
                <w:b/>
                <w:color w:val="auto"/>
                <w:lang w:val="fr-FR"/>
              </w:rPr>
            </w:pPr>
            <w:r w:rsidRPr="001E479E">
              <w:rPr>
                <w:rFonts w:ascii="Calibri" w:eastAsia="Arial Unicode MS" w:hAnsi="Calibri" w:cs="Calibri"/>
                <w:bCs/>
                <w:color w:val="auto"/>
                <w:lang w:val="fr-FR"/>
              </w:rPr>
              <w:t xml:space="preserve">Renforcer les capacités des cadres du </w:t>
            </w:r>
            <w:r w:rsidR="00772B19" w:rsidRPr="001E479E">
              <w:rPr>
                <w:rFonts w:ascii="Calibri" w:eastAsia="Arial Unicode MS" w:hAnsi="Calibri" w:cs="Calibri"/>
                <w:bCs/>
                <w:color w:val="auto"/>
                <w:lang w:val="fr-FR"/>
              </w:rPr>
              <w:t>M</w:t>
            </w:r>
            <w:r w:rsidRPr="001E479E">
              <w:rPr>
                <w:rFonts w:ascii="Calibri" w:eastAsia="Arial Unicode MS" w:hAnsi="Calibri" w:cs="Calibri"/>
                <w:bCs/>
                <w:color w:val="auto"/>
                <w:lang w:val="fr-FR"/>
              </w:rPr>
              <w:t>inistère de l’Education Nationale et de la Recherche Scientifique du Burundi, sur la production systématique des statistiques de qualité de l’éducation</w:t>
            </w:r>
            <w:r w:rsidRPr="001E479E">
              <w:rPr>
                <w:rFonts w:ascii="Calibri" w:eastAsia="Arial Unicode MS" w:hAnsi="Calibri" w:cs="Calibri"/>
                <w:bCs/>
                <w:color w:val="auto"/>
                <w:sz w:val="22"/>
                <w:szCs w:val="22"/>
                <w:lang w:val="fr-FR"/>
              </w:rPr>
              <w:t>.</w:t>
            </w:r>
          </w:p>
          <w:p w14:paraId="37400F48" w14:textId="77777777" w:rsidR="007613B3" w:rsidRPr="001E479E" w:rsidRDefault="007613B3" w:rsidP="00377BF5">
            <w:pPr>
              <w:pStyle w:val="ListParagraph"/>
              <w:spacing w:before="60" w:after="60" w:line="240" w:lineRule="auto"/>
              <w:rPr>
                <w:rFonts w:ascii="Calibri" w:eastAsia="Arial Unicode MS" w:hAnsi="Calibri" w:cs="Calibri"/>
                <w:b/>
                <w:color w:val="auto"/>
                <w:lang w:val="fr-FR"/>
              </w:rPr>
            </w:pPr>
          </w:p>
        </w:tc>
      </w:tr>
      <w:tr w:rsidR="007613B3" w:rsidRPr="000A01CE" w14:paraId="55B63C31" w14:textId="77777777" w:rsidTr="000A01CE">
        <w:trPr>
          <w:trHeight w:val="3771"/>
        </w:trPr>
        <w:tc>
          <w:tcPr>
            <w:tcW w:w="9715" w:type="dxa"/>
            <w:gridSpan w:val="2"/>
            <w:tcBorders>
              <w:bottom w:val="nil"/>
            </w:tcBorders>
            <w:shd w:val="clear" w:color="auto" w:fill="auto"/>
            <w:noWrap/>
          </w:tcPr>
          <w:p w14:paraId="64EE50FB" w14:textId="33F1846C" w:rsidR="007613B3" w:rsidRPr="001E479E" w:rsidRDefault="007613B3" w:rsidP="00ED4704">
            <w:pPr>
              <w:spacing w:before="100" w:beforeAutospacing="1" w:after="100" w:afterAutospacing="1" w:line="240" w:lineRule="auto"/>
              <w:jc w:val="both"/>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Scope of </w:t>
            </w:r>
            <w:proofErr w:type="gramStart"/>
            <w:r w:rsidRPr="001E479E">
              <w:rPr>
                <w:rFonts w:ascii="Calibri" w:eastAsia="Arial Unicode MS" w:hAnsi="Calibri" w:cs="Calibri"/>
                <w:bCs/>
                <w:color w:val="auto"/>
                <w:lang w:val="fr-FR"/>
              </w:rPr>
              <w:t>Work:</w:t>
            </w:r>
            <w:proofErr w:type="gramEnd"/>
          </w:p>
          <w:p w14:paraId="567F79A7" w14:textId="64ED4781" w:rsidR="002D797B" w:rsidRPr="001E479E" w:rsidRDefault="002D797B" w:rsidP="00ED4704">
            <w:pPr>
              <w:spacing w:before="100" w:beforeAutospacing="1" w:after="100" w:afterAutospacing="1" w:line="240" w:lineRule="auto"/>
              <w:jc w:val="both"/>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Il s’agit d’une formation-action des cadres sur un moyen terme, pour une autonomisation dans la gestion, l’utilisation et l’exploitation des outils, bases de données et systèmes existants, sur les techniques et les procédures, afin </w:t>
            </w:r>
            <w:proofErr w:type="gramStart"/>
            <w:r w:rsidR="00E83654" w:rsidRPr="001E479E">
              <w:rPr>
                <w:rFonts w:ascii="Calibri" w:eastAsia="Arial Unicode MS" w:hAnsi="Calibri" w:cs="Calibri"/>
                <w:bCs/>
                <w:color w:val="auto"/>
                <w:lang w:val="fr-FR"/>
              </w:rPr>
              <w:t>de:</w:t>
            </w:r>
            <w:proofErr w:type="gramEnd"/>
          </w:p>
          <w:p w14:paraId="6B6B3D6D" w14:textId="77777777" w:rsidR="00011ED0"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bookmarkStart w:id="0" w:name="_Hlk96980424"/>
            <w:r w:rsidRPr="001E479E">
              <w:rPr>
                <w:rFonts w:ascii="Calibri" w:eastAsia="Arial Unicode MS" w:hAnsi="Calibri" w:cs="Calibri"/>
                <w:bCs/>
                <w:color w:val="auto"/>
                <w:lang w:val="fr-FR"/>
              </w:rPr>
              <w:t>Identifier les doublons, fusionner les données d’une école ayant des codes différents ;</w:t>
            </w:r>
          </w:p>
          <w:p w14:paraId="64C44B70" w14:textId="0D73062B" w:rsidR="002D797B"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Supprimer les données en doublon d’une école pour une même année scolaire en utilisant </w:t>
            </w:r>
            <w:r w:rsidR="00E83654" w:rsidRPr="001E479E">
              <w:rPr>
                <w:rFonts w:ascii="Calibri" w:eastAsia="Arial Unicode MS" w:hAnsi="Calibri" w:cs="Calibri"/>
                <w:bCs/>
                <w:color w:val="auto"/>
                <w:lang w:val="fr-FR"/>
              </w:rPr>
              <w:t>StatEduc2.</w:t>
            </w:r>
          </w:p>
          <w:p w14:paraId="598F05F1" w14:textId="7DD457DE" w:rsidR="002D797B"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Configurer les contrôles de cohérence dans </w:t>
            </w:r>
            <w:r w:rsidR="00E83654" w:rsidRPr="001E479E">
              <w:rPr>
                <w:rFonts w:ascii="Calibri" w:eastAsia="Arial Unicode MS" w:hAnsi="Calibri" w:cs="Calibri"/>
                <w:bCs/>
                <w:color w:val="auto"/>
                <w:lang w:val="fr-FR"/>
              </w:rPr>
              <w:t>StatEduc2.</w:t>
            </w:r>
          </w:p>
          <w:p w14:paraId="5EE3CADC" w14:textId="6E2DDE19" w:rsidR="002D797B"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Intégrer/paramétrer dans la plateforme StatEduc2 des tableaux synthèses (Quick Reports), afin de suivre aisément en temps réel l’évolution de la saisie et de pouvoir sortir en temps réel les tableaux statistiques préliminaires sur les principales thématiques (élèves, enseignants, salles de classes, …) pour l’ensemble des sous-secteurs de </w:t>
            </w:r>
            <w:proofErr w:type="gramStart"/>
            <w:r w:rsidR="00011ED0" w:rsidRPr="001E479E">
              <w:rPr>
                <w:rFonts w:ascii="Calibri" w:eastAsia="Arial Unicode MS" w:hAnsi="Calibri" w:cs="Calibri"/>
                <w:bCs/>
                <w:color w:val="auto"/>
                <w:lang w:val="fr-FR"/>
              </w:rPr>
              <w:t>l’éducation;</w:t>
            </w:r>
            <w:proofErr w:type="gramEnd"/>
          </w:p>
          <w:p w14:paraId="63EA51BB" w14:textId="3F18228B" w:rsidR="002D797B"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Mettre à jour les applications/outils de production automatisée de tableaux de bord école/colline/commune/province pour améliorer le pilotage du système éducatif à tous les niveaux et formation sur son fonctionnement, son utilisation, son exploitation et sa maintenance </w:t>
            </w:r>
            <w:r w:rsidR="00E83654" w:rsidRPr="001E479E">
              <w:rPr>
                <w:rFonts w:ascii="Calibri" w:eastAsia="Arial Unicode MS" w:hAnsi="Calibri" w:cs="Calibri"/>
                <w:bCs/>
                <w:color w:val="auto"/>
                <w:lang w:val="fr-FR"/>
              </w:rPr>
              <w:t>adaptative.</w:t>
            </w:r>
          </w:p>
          <w:p w14:paraId="2F4E5DC8" w14:textId="77777777" w:rsidR="002D797B"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Mettre en place des sources de données multisectorielles/pluriannuelles d’indicateurs de l’éducation qui permettraient également d’alimenter de façon dynamique le rapport annuel d’analyse ;</w:t>
            </w:r>
          </w:p>
          <w:p w14:paraId="6C709C3E" w14:textId="77777777" w:rsidR="002D797B"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Mettre à jour de façon automatisée les indicateurs multisectorielles/pluriannuelles ;</w:t>
            </w:r>
          </w:p>
          <w:p w14:paraId="3726E784" w14:textId="77777777" w:rsidR="002D797B"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Elaborer une documentation technique sur le système de mise en ligne des données, des indicateurs et des tableaux de bord ;</w:t>
            </w:r>
          </w:p>
          <w:p w14:paraId="78C5C227" w14:textId="01586061" w:rsidR="00B14BE6" w:rsidRPr="001E479E" w:rsidRDefault="002D797B" w:rsidP="00011ED0">
            <w:pPr>
              <w:pStyle w:val="ListParagraph"/>
              <w:widowControl w:val="0"/>
              <w:numPr>
                <w:ilvl w:val="0"/>
                <w:numId w:val="28"/>
              </w:numPr>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Disponibiliser le guide de formatio</w:t>
            </w:r>
            <w:bookmarkEnd w:id="0"/>
            <w:r w:rsidR="00B410CB" w:rsidRPr="001E479E">
              <w:rPr>
                <w:rFonts w:ascii="Calibri" w:eastAsia="Arial Unicode MS" w:hAnsi="Calibri" w:cs="Calibri"/>
                <w:bCs/>
                <w:color w:val="auto"/>
                <w:lang w:val="fr-FR"/>
              </w:rPr>
              <w:t>n</w:t>
            </w:r>
          </w:p>
        </w:tc>
      </w:tr>
      <w:tr w:rsidR="007613B3" w:rsidRPr="000A01CE" w14:paraId="0A300CA7" w14:textId="77777777" w:rsidTr="000A01CE">
        <w:trPr>
          <w:trHeight w:val="60"/>
        </w:trPr>
        <w:tc>
          <w:tcPr>
            <w:tcW w:w="9715" w:type="dxa"/>
            <w:gridSpan w:val="2"/>
            <w:tcBorders>
              <w:top w:val="nil"/>
            </w:tcBorders>
            <w:shd w:val="clear" w:color="auto" w:fill="auto"/>
            <w:noWrap/>
          </w:tcPr>
          <w:p w14:paraId="51AD8E11" w14:textId="77777777" w:rsidR="007613B3" w:rsidRPr="001E479E" w:rsidRDefault="007613B3" w:rsidP="00377BF5">
            <w:pPr>
              <w:spacing w:before="60" w:after="60" w:line="240" w:lineRule="auto"/>
              <w:rPr>
                <w:rFonts w:ascii="Calibri" w:eastAsia="Arial Unicode MS" w:hAnsi="Calibri" w:cs="Calibri"/>
                <w:i/>
                <w:color w:val="auto"/>
                <w:lang w:val="fr-FR"/>
              </w:rPr>
            </w:pPr>
          </w:p>
        </w:tc>
      </w:tr>
    </w:tbl>
    <w:p w14:paraId="0E24A3B3" w14:textId="6F1ACB11" w:rsidR="007613B3" w:rsidRDefault="007613B3">
      <w:pPr>
        <w:jc w:val="center"/>
        <w:rPr>
          <w:rFonts w:ascii="Calibri" w:hAnsi="Calibri" w:cs="Calibri"/>
          <w:b/>
          <w:bCs/>
          <w:sz w:val="24"/>
          <w:szCs w:val="24"/>
          <w:u w:val="single"/>
        </w:rPr>
      </w:pPr>
    </w:p>
    <w:tbl>
      <w:tblPr>
        <w:tblpPr w:leftFromText="180" w:rightFromText="180" w:vertAnchor="page" w:horzAnchor="page" w:tblpX="1251" w:tblpY="1516"/>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3142"/>
        <w:gridCol w:w="1139"/>
        <w:gridCol w:w="1291"/>
      </w:tblGrid>
      <w:tr w:rsidR="00A1417B" w:rsidRPr="0054592E" w14:paraId="3C4B56C3" w14:textId="77777777" w:rsidTr="000A01CE">
        <w:trPr>
          <w:trHeight w:val="220"/>
        </w:trPr>
        <w:tc>
          <w:tcPr>
            <w:tcW w:w="10255" w:type="dxa"/>
            <w:gridSpan w:val="4"/>
            <w:tcBorders>
              <w:bottom w:val="nil"/>
            </w:tcBorders>
            <w:shd w:val="clear" w:color="auto" w:fill="auto"/>
            <w:noWrap/>
            <w:hideMark/>
          </w:tcPr>
          <w:p w14:paraId="397AEFB9" w14:textId="77777777" w:rsidR="00A1417B" w:rsidRPr="0054592E" w:rsidRDefault="00A1417B" w:rsidP="000A01CE">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lastRenderedPageBreak/>
              <w:t>Work Assignment Overview</w:t>
            </w:r>
          </w:p>
        </w:tc>
      </w:tr>
      <w:tr w:rsidR="00A1417B" w:rsidRPr="007613B3" w14:paraId="44C4ED46" w14:textId="77777777" w:rsidTr="000A01CE">
        <w:trPr>
          <w:trHeight w:val="608"/>
        </w:trPr>
        <w:tc>
          <w:tcPr>
            <w:tcW w:w="4683" w:type="dxa"/>
            <w:tcBorders>
              <w:top w:val="nil"/>
              <w:left w:val="single" w:sz="4" w:space="0" w:color="auto"/>
              <w:bottom w:val="single" w:sz="8" w:space="0" w:color="6D6D6D"/>
              <w:right w:val="nil"/>
            </w:tcBorders>
            <w:shd w:val="clear" w:color="auto" w:fill="auto"/>
            <w:noWrap/>
          </w:tcPr>
          <w:p w14:paraId="314C466A" w14:textId="77777777" w:rsidR="00A1417B" w:rsidRPr="007613B3" w:rsidRDefault="00A1417B" w:rsidP="000A01CE">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3142" w:type="dxa"/>
            <w:tcBorders>
              <w:top w:val="nil"/>
              <w:left w:val="nil"/>
              <w:bottom w:val="single" w:sz="8" w:space="0" w:color="6D6D6D"/>
              <w:right w:val="nil"/>
            </w:tcBorders>
            <w:shd w:val="clear" w:color="auto" w:fill="auto"/>
          </w:tcPr>
          <w:p w14:paraId="56362699" w14:textId="77777777" w:rsidR="00A1417B" w:rsidRPr="007613B3" w:rsidRDefault="00A1417B" w:rsidP="000A01CE">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139" w:type="dxa"/>
            <w:tcBorders>
              <w:top w:val="nil"/>
              <w:left w:val="nil"/>
              <w:bottom w:val="single" w:sz="8" w:space="0" w:color="6D6D6D"/>
              <w:right w:val="nil"/>
            </w:tcBorders>
            <w:shd w:val="clear" w:color="auto" w:fill="auto"/>
          </w:tcPr>
          <w:p w14:paraId="7673B078" w14:textId="77777777" w:rsidR="00A1417B" w:rsidRPr="007613B3" w:rsidRDefault="00A1417B" w:rsidP="000A01CE">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c>
          <w:tcPr>
            <w:tcW w:w="1291" w:type="dxa"/>
            <w:tcBorders>
              <w:top w:val="nil"/>
              <w:left w:val="nil"/>
              <w:bottom w:val="single" w:sz="8" w:space="0" w:color="6D6D6D"/>
              <w:right w:val="single" w:sz="4" w:space="0" w:color="auto"/>
            </w:tcBorders>
            <w:shd w:val="clear" w:color="auto" w:fill="auto"/>
          </w:tcPr>
          <w:p w14:paraId="4F45D338" w14:textId="77777777" w:rsidR="00A1417B" w:rsidRPr="007613B3" w:rsidRDefault="00A1417B" w:rsidP="000A01CE">
            <w:pPr>
              <w:spacing w:before="60" w:after="60" w:line="240" w:lineRule="auto"/>
              <w:jc w:val="center"/>
              <w:rPr>
                <w:rFonts w:ascii="Calibri" w:eastAsia="Arial Unicode MS" w:hAnsi="Calibri" w:cs="Calibri"/>
                <w:color w:val="auto"/>
                <w:lang w:val="en-AU"/>
              </w:rPr>
            </w:pPr>
            <w:r w:rsidRPr="007613B3">
              <w:rPr>
                <w:rFonts w:ascii="Calibri" w:eastAsia="Arial Unicode MS" w:hAnsi="Calibri" w:cs="Calibri"/>
                <w:color w:val="auto"/>
                <w:lang w:val="en-AU"/>
              </w:rPr>
              <w:t xml:space="preserve">Estimate Budget </w:t>
            </w:r>
          </w:p>
        </w:tc>
      </w:tr>
      <w:tr w:rsidR="00A1417B" w:rsidRPr="001E479E" w14:paraId="7C8C6EEB"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51CF7FC7"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Mettre en place une stratégie de codification unique intelligente et intégrer cette codification d’identification unique dans le SIGE pour chaque unité de collecte (établissement)</w:t>
            </w:r>
          </w:p>
        </w:tc>
        <w:tc>
          <w:tcPr>
            <w:tcW w:w="3142" w:type="dxa"/>
            <w:tcBorders>
              <w:top w:val="single" w:sz="8" w:space="0" w:color="6D6D6D"/>
              <w:left w:val="single" w:sz="8" w:space="0" w:color="6D6D6D"/>
              <w:bottom w:val="single" w:sz="8" w:space="0" w:color="6D6D6D"/>
              <w:right w:val="single" w:sz="8" w:space="0" w:color="6D6D6D"/>
            </w:tcBorders>
            <w:shd w:val="clear" w:color="auto" w:fill="auto"/>
          </w:tcPr>
          <w:p w14:paraId="2065DDF8"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color w:val="auto"/>
                <w:lang w:val="fr-FR"/>
              </w:rPr>
            </w:pPr>
            <w:r w:rsidRPr="001E479E">
              <w:rPr>
                <w:rFonts w:ascii="Calibri" w:eastAsia="Arial Unicode MS" w:hAnsi="Calibri" w:cs="Calibri"/>
                <w:bCs/>
                <w:color w:val="auto"/>
                <w:lang w:val="fr-FR"/>
              </w:rPr>
              <w:t>Une base de données nettoyée des doublons et contenant des sources de données (requêtes) multisectorielles et pluriannuelles</w:t>
            </w:r>
          </w:p>
        </w:tc>
        <w:tc>
          <w:tcPr>
            <w:tcW w:w="1139" w:type="dxa"/>
            <w:tcBorders>
              <w:top w:val="single" w:sz="8" w:space="0" w:color="6D6D6D"/>
              <w:left w:val="single" w:sz="8" w:space="0" w:color="6D6D6D"/>
              <w:bottom w:val="single" w:sz="8" w:space="0" w:color="6D6D6D"/>
              <w:right w:val="single" w:sz="8" w:space="0" w:color="6D6D6D"/>
            </w:tcBorders>
            <w:shd w:val="clear" w:color="auto" w:fill="auto"/>
            <w:vAlign w:val="center"/>
          </w:tcPr>
          <w:p w14:paraId="7F01436A" w14:textId="77777777" w:rsidR="00A1417B" w:rsidRPr="001E479E" w:rsidRDefault="00A1417B" w:rsidP="000A01CE">
            <w:pPr>
              <w:spacing w:before="60" w:after="60" w:line="240" w:lineRule="auto"/>
              <w:rPr>
                <w:rFonts w:ascii="Calibri" w:eastAsia="Arial Unicode MS" w:hAnsi="Calibri" w:cs="Calibri"/>
                <w:color w:val="auto"/>
                <w:lang w:val="en-AU"/>
              </w:rPr>
            </w:pPr>
            <w:r w:rsidRPr="001E479E">
              <w:rPr>
                <w:rFonts w:ascii="Calibri" w:eastAsia="Arial Unicode MS" w:hAnsi="Calibri" w:cs="Calibri"/>
                <w:bCs/>
                <w:color w:val="auto"/>
                <w:lang w:val="en-AU"/>
              </w:rPr>
              <w:t xml:space="preserve">8 </w:t>
            </w:r>
            <w:proofErr w:type="spellStart"/>
            <w:r w:rsidRPr="001E479E">
              <w:rPr>
                <w:rFonts w:ascii="Calibri" w:eastAsia="Arial Unicode MS" w:hAnsi="Calibri" w:cs="Calibri"/>
                <w:bCs/>
                <w:color w:val="auto"/>
                <w:lang w:val="en-AU"/>
              </w:rPr>
              <w:t>jours</w:t>
            </w:r>
            <w:proofErr w:type="spellEnd"/>
          </w:p>
        </w:tc>
        <w:tc>
          <w:tcPr>
            <w:tcW w:w="1291" w:type="dxa"/>
            <w:vMerge w:val="restart"/>
            <w:tcBorders>
              <w:top w:val="single" w:sz="8" w:space="0" w:color="6D6D6D"/>
              <w:left w:val="single" w:sz="8" w:space="0" w:color="6D6D6D"/>
              <w:right w:val="single" w:sz="8" w:space="0" w:color="6D6D6D"/>
            </w:tcBorders>
            <w:shd w:val="clear" w:color="auto" w:fill="auto"/>
          </w:tcPr>
          <w:p w14:paraId="6E842EEB" w14:textId="77777777" w:rsidR="00A1417B" w:rsidRPr="001E479E" w:rsidRDefault="00A1417B" w:rsidP="000A01CE">
            <w:pPr>
              <w:spacing w:before="60" w:after="60"/>
              <w:jc w:val="center"/>
              <w:rPr>
                <w:rFonts w:ascii="Calibri" w:eastAsia="Arial Unicode MS" w:hAnsi="Calibri" w:cs="Calibri"/>
                <w:color w:val="auto"/>
                <w:lang w:val="en-AU"/>
              </w:rPr>
            </w:pPr>
          </w:p>
          <w:p w14:paraId="6008DF7C" w14:textId="77777777" w:rsidR="00A1417B" w:rsidRPr="001E479E" w:rsidRDefault="00A1417B" w:rsidP="000A01CE">
            <w:pPr>
              <w:spacing w:before="60" w:after="60"/>
              <w:jc w:val="center"/>
              <w:rPr>
                <w:rFonts w:ascii="Calibri" w:eastAsia="Arial Unicode MS" w:hAnsi="Calibri" w:cs="Calibri"/>
                <w:color w:val="auto"/>
                <w:lang w:val="en-AU"/>
              </w:rPr>
            </w:pPr>
          </w:p>
          <w:p w14:paraId="4F728A76" w14:textId="77777777" w:rsidR="00A1417B" w:rsidRPr="001E479E" w:rsidRDefault="00A1417B" w:rsidP="000A01CE">
            <w:pPr>
              <w:spacing w:before="60" w:after="60"/>
              <w:jc w:val="center"/>
              <w:rPr>
                <w:rFonts w:ascii="Calibri" w:eastAsia="Arial Unicode MS" w:hAnsi="Calibri" w:cs="Calibri"/>
                <w:color w:val="auto"/>
                <w:lang w:val="en-AU"/>
              </w:rPr>
            </w:pPr>
          </w:p>
          <w:p w14:paraId="7836B8B7" w14:textId="77777777" w:rsidR="00A1417B" w:rsidRPr="001E479E" w:rsidRDefault="00A1417B" w:rsidP="000A01CE">
            <w:pPr>
              <w:spacing w:before="60" w:after="60"/>
              <w:jc w:val="center"/>
              <w:rPr>
                <w:rFonts w:ascii="Calibri" w:eastAsia="Arial Unicode MS" w:hAnsi="Calibri" w:cs="Calibri"/>
                <w:color w:val="auto"/>
                <w:lang w:val="en-AU"/>
              </w:rPr>
            </w:pPr>
          </w:p>
          <w:p w14:paraId="66593B3D" w14:textId="77777777" w:rsidR="00A1417B" w:rsidRPr="001E479E" w:rsidRDefault="00A1417B" w:rsidP="000A01CE">
            <w:pPr>
              <w:spacing w:before="60" w:after="60"/>
              <w:jc w:val="center"/>
              <w:rPr>
                <w:rFonts w:ascii="Calibri" w:eastAsia="Arial Unicode MS" w:hAnsi="Calibri" w:cs="Calibri"/>
                <w:color w:val="auto"/>
                <w:lang w:val="en-AU"/>
              </w:rPr>
            </w:pPr>
          </w:p>
          <w:p w14:paraId="08428F9F" w14:textId="77777777" w:rsidR="00A1417B" w:rsidRPr="001E479E" w:rsidRDefault="00A1417B" w:rsidP="000A01CE">
            <w:pPr>
              <w:spacing w:before="60" w:after="60" w:line="240" w:lineRule="auto"/>
              <w:rPr>
                <w:rFonts w:ascii="Calibri" w:eastAsia="Arial Unicode MS" w:hAnsi="Calibri" w:cs="Calibri"/>
                <w:color w:val="auto"/>
                <w:lang w:val="en-AU"/>
              </w:rPr>
            </w:pPr>
            <w:r w:rsidRPr="001E479E">
              <w:rPr>
                <w:rFonts w:ascii="Calibri" w:eastAsia="Arial Unicode MS" w:hAnsi="Calibri" w:cs="Calibri"/>
                <w:bCs/>
                <w:color w:val="auto"/>
                <w:lang w:val="en-AU"/>
              </w:rPr>
              <w:t>30%</w:t>
            </w:r>
          </w:p>
        </w:tc>
      </w:tr>
      <w:tr w:rsidR="00A1417B" w:rsidRPr="001E479E" w14:paraId="369EC4CF" w14:textId="77777777" w:rsidTr="000A01CE">
        <w:trPr>
          <w:trHeight w:val="343"/>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32883B5D"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Mettre à jour la plateforme informatique de gestion du système d’information pour l’ensemble des sous-secteurs de l’éducation (Préscolaire, Primaire, Secondaire Général, Secondaire Technique A2, Secondaire Technique A3/A4, Enseignement des métiers, enseignement supérieur) ;</w:t>
            </w:r>
          </w:p>
        </w:tc>
        <w:tc>
          <w:tcPr>
            <w:tcW w:w="3142" w:type="dxa"/>
            <w:tcBorders>
              <w:top w:val="single" w:sz="8" w:space="0" w:color="6D6D6D"/>
              <w:left w:val="single" w:sz="8" w:space="0" w:color="6D6D6D"/>
              <w:bottom w:val="single" w:sz="8" w:space="0" w:color="6D6D6D"/>
              <w:right w:val="single" w:sz="8" w:space="0" w:color="6D6D6D"/>
            </w:tcBorders>
            <w:shd w:val="clear" w:color="auto" w:fill="auto"/>
          </w:tcPr>
          <w:p w14:paraId="2F5A1A5B"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color w:val="auto"/>
                <w:lang w:val="fr-FR"/>
              </w:rPr>
            </w:pPr>
            <w:r w:rsidRPr="001E479E">
              <w:rPr>
                <w:rFonts w:ascii="Calibri" w:eastAsia="Arial Unicode MS" w:hAnsi="Calibri" w:cs="Calibri"/>
                <w:bCs/>
                <w:color w:val="auto"/>
                <w:lang w:val="fr-FR"/>
              </w:rPr>
              <w:t>Une plateforme StatEduc2 intégrant les contrôles de cohérence et des tableaux synthèses sur les principales thématiques (élèves, enseignants, salles de classes, …) pour l’ensemble des sous-secteurs de l’éducation</w:t>
            </w:r>
          </w:p>
        </w:tc>
        <w:tc>
          <w:tcPr>
            <w:tcW w:w="1139" w:type="dxa"/>
            <w:tcBorders>
              <w:top w:val="single" w:sz="8" w:space="0" w:color="6D6D6D"/>
              <w:left w:val="single" w:sz="8" w:space="0" w:color="6D6D6D"/>
              <w:bottom w:val="single" w:sz="8" w:space="0" w:color="6D6D6D"/>
              <w:right w:val="single" w:sz="8" w:space="0" w:color="6D6D6D"/>
            </w:tcBorders>
            <w:shd w:val="clear" w:color="auto" w:fill="auto"/>
            <w:vAlign w:val="center"/>
          </w:tcPr>
          <w:p w14:paraId="2EB1D80C" w14:textId="77777777" w:rsidR="00A1417B" w:rsidRPr="001E479E" w:rsidRDefault="00A1417B" w:rsidP="000A01CE">
            <w:pPr>
              <w:spacing w:before="60" w:after="60" w:line="240" w:lineRule="auto"/>
              <w:rPr>
                <w:rFonts w:ascii="Calibri" w:eastAsia="Arial Unicode MS" w:hAnsi="Calibri" w:cs="Calibri"/>
                <w:bCs/>
                <w:color w:val="auto"/>
                <w:lang w:val="en-AU"/>
              </w:rPr>
            </w:pPr>
            <w:r w:rsidRPr="001E479E">
              <w:rPr>
                <w:rFonts w:ascii="Calibri" w:eastAsia="Arial Unicode MS" w:hAnsi="Calibri" w:cs="Calibri"/>
                <w:bCs/>
                <w:color w:val="auto"/>
                <w:lang w:val="en-AU"/>
              </w:rPr>
              <w:t xml:space="preserve">10 </w:t>
            </w:r>
            <w:proofErr w:type="spellStart"/>
            <w:r w:rsidRPr="001E479E">
              <w:rPr>
                <w:rFonts w:ascii="Calibri" w:eastAsia="Arial Unicode MS" w:hAnsi="Calibri" w:cs="Calibri"/>
                <w:bCs/>
                <w:color w:val="auto"/>
                <w:lang w:val="en-AU"/>
              </w:rPr>
              <w:t>jours</w:t>
            </w:r>
            <w:proofErr w:type="spellEnd"/>
          </w:p>
        </w:tc>
        <w:tc>
          <w:tcPr>
            <w:tcW w:w="1291" w:type="dxa"/>
            <w:vMerge/>
            <w:tcBorders>
              <w:left w:val="single" w:sz="8" w:space="0" w:color="6D6D6D"/>
              <w:bottom w:val="single" w:sz="8" w:space="0" w:color="6D6D6D"/>
              <w:right w:val="single" w:sz="8" w:space="0" w:color="6D6D6D"/>
            </w:tcBorders>
            <w:shd w:val="clear" w:color="auto" w:fill="auto"/>
          </w:tcPr>
          <w:p w14:paraId="77BA06AB" w14:textId="77777777" w:rsidR="00A1417B" w:rsidRPr="001E479E" w:rsidRDefault="00A1417B" w:rsidP="000A01CE">
            <w:pPr>
              <w:spacing w:before="60" w:after="60"/>
              <w:rPr>
                <w:rFonts w:ascii="Calibri" w:eastAsia="Arial Unicode MS" w:hAnsi="Calibri" w:cs="Calibri"/>
                <w:color w:val="auto"/>
                <w:lang w:val="en-AU"/>
              </w:rPr>
            </w:pPr>
          </w:p>
        </w:tc>
      </w:tr>
      <w:tr w:rsidR="00A1417B" w:rsidRPr="001E479E" w14:paraId="6C062C94"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03F10841"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Définir une procédure fiable et sécurisée d’archivage des bases de données historiques longitudinales et développer une politique de sauvegarde et récupération des données SIGE, et des données des évaluations nationales ;</w:t>
            </w:r>
          </w:p>
        </w:tc>
        <w:tc>
          <w:tcPr>
            <w:tcW w:w="3142" w:type="dxa"/>
            <w:tcBorders>
              <w:top w:val="single" w:sz="8" w:space="0" w:color="6D6D6D"/>
              <w:left w:val="single" w:sz="8" w:space="0" w:color="6D6D6D"/>
              <w:bottom w:val="single" w:sz="8" w:space="0" w:color="6D6D6D"/>
              <w:right w:val="single" w:sz="8" w:space="0" w:color="6D6D6D"/>
            </w:tcBorders>
            <w:shd w:val="clear" w:color="auto" w:fill="auto"/>
          </w:tcPr>
          <w:p w14:paraId="50D64AED"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color w:val="auto"/>
                <w:lang w:val="fr-FR"/>
              </w:rPr>
            </w:pPr>
            <w:bookmarkStart w:id="1" w:name="_Hlk97893107"/>
            <w:r w:rsidRPr="001E479E">
              <w:rPr>
                <w:rFonts w:ascii="Calibri" w:eastAsia="Arial Unicode MS" w:hAnsi="Calibri" w:cs="Calibri"/>
                <w:bCs/>
                <w:color w:val="auto"/>
                <w:lang w:val="fr-FR"/>
              </w:rPr>
              <w:t>Des applications/outils Excel et Web (en ligne) de production automatisée d’indicateurs et tableaux de bord école/colline/commune/province</w:t>
            </w:r>
            <w:bookmarkEnd w:id="1"/>
          </w:p>
        </w:tc>
        <w:tc>
          <w:tcPr>
            <w:tcW w:w="1139" w:type="dxa"/>
            <w:tcBorders>
              <w:top w:val="single" w:sz="8" w:space="0" w:color="6D6D6D"/>
              <w:left w:val="single" w:sz="8" w:space="0" w:color="6D6D6D"/>
              <w:bottom w:val="single" w:sz="8" w:space="0" w:color="6D6D6D"/>
              <w:right w:val="single" w:sz="8" w:space="0" w:color="6D6D6D"/>
            </w:tcBorders>
            <w:shd w:val="clear" w:color="auto" w:fill="auto"/>
            <w:vAlign w:val="center"/>
          </w:tcPr>
          <w:p w14:paraId="48055178" w14:textId="77777777" w:rsidR="00A1417B" w:rsidRPr="001E479E" w:rsidRDefault="00A1417B" w:rsidP="000A01CE">
            <w:pPr>
              <w:spacing w:before="60" w:after="60" w:line="240" w:lineRule="auto"/>
              <w:rPr>
                <w:rFonts w:ascii="Calibri" w:eastAsia="Arial Unicode MS" w:hAnsi="Calibri" w:cs="Calibri"/>
                <w:color w:val="auto"/>
                <w:lang w:val="en-AU"/>
              </w:rPr>
            </w:pPr>
            <w:r w:rsidRPr="001E479E">
              <w:rPr>
                <w:rFonts w:ascii="Calibri" w:eastAsia="Arial Unicode MS" w:hAnsi="Calibri" w:cs="Calibri"/>
                <w:bCs/>
                <w:color w:val="auto"/>
                <w:lang w:val="en-AU"/>
              </w:rPr>
              <w:t xml:space="preserve">10 </w:t>
            </w:r>
            <w:proofErr w:type="spellStart"/>
            <w:r w:rsidRPr="001E479E">
              <w:rPr>
                <w:rFonts w:ascii="Calibri" w:eastAsia="Arial Unicode MS" w:hAnsi="Calibri" w:cs="Calibri"/>
                <w:bCs/>
                <w:color w:val="auto"/>
                <w:lang w:val="en-AU"/>
              </w:rPr>
              <w:t>jours</w:t>
            </w:r>
            <w:proofErr w:type="spellEnd"/>
          </w:p>
        </w:tc>
        <w:tc>
          <w:tcPr>
            <w:tcW w:w="1291" w:type="dxa"/>
            <w:vMerge w:val="restart"/>
            <w:tcBorders>
              <w:top w:val="single" w:sz="8" w:space="0" w:color="6D6D6D"/>
              <w:left w:val="single" w:sz="8" w:space="0" w:color="6D6D6D"/>
              <w:right w:val="single" w:sz="8" w:space="0" w:color="6D6D6D"/>
            </w:tcBorders>
            <w:shd w:val="clear" w:color="auto" w:fill="auto"/>
          </w:tcPr>
          <w:p w14:paraId="0F134D9A"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7294BAB9"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4ECC4ABC"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0E5BEE22"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77CB4E0A"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4D7DBE9B" w14:textId="77777777" w:rsidR="00A1417B" w:rsidRPr="001E479E" w:rsidRDefault="00A1417B" w:rsidP="000A01CE">
            <w:pPr>
              <w:spacing w:before="60" w:after="60" w:line="240" w:lineRule="auto"/>
              <w:rPr>
                <w:rFonts w:ascii="Calibri" w:eastAsia="Arial Unicode MS" w:hAnsi="Calibri" w:cs="Calibri"/>
                <w:bCs/>
                <w:color w:val="auto"/>
                <w:lang w:val="en-AU"/>
              </w:rPr>
            </w:pPr>
            <w:r w:rsidRPr="001E479E">
              <w:rPr>
                <w:rFonts w:ascii="Calibri" w:eastAsia="Arial Unicode MS" w:hAnsi="Calibri" w:cs="Calibri"/>
                <w:bCs/>
                <w:color w:val="auto"/>
                <w:lang w:val="en-AU"/>
              </w:rPr>
              <w:t>40%</w:t>
            </w:r>
          </w:p>
        </w:tc>
      </w:tr>
      <w:tr w:rsidR="00A1417B" w:rsidRPr="001E479E" w14:paraId="584E5D2B"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3E915AA"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Nettoyer la base des données éducatives existante (SIGE</w:t>
            </w:r>
            <w:proofErr w:type="gramStart"/>
            <w:r w:rsidRPr="001E479E">
              <w:rPr>
                <w:rFonts w:ascii="Calibri" w:eastAsia="Arial Unicode MS" w:hAnsi="Calibri" w:cs="Calibri"/>
                <w:bCs/>
                <w:color w:val="auto"/>
                <w:lang w:val="fr-FR"/>
              </w:rPr>
              <w:t>);</w:t>
            </w:r>
            <w:proofErr w:type="gramEnd"/>
            <w:r w:rsidRPr="001E479E">
              <w:rPr>
                <w:rFonts w:ascii="Calibri" w:eastAsia="Arial Unicode MS" w:hAnsi="Calibri" w:cs="Calibri"/>
                <w:bCs/>
                <w:color w:val="auto"/>
                <w:lang w:val="fr-FR"/>
              </w:rPr>
              <w:t xml:space="preserve"> </w:t>
            </w:r>
          </w:p>
        </w:tc>
        <w:tc>
          <w:tcPr>
            <w:tcW w:w="3142" w:type="dxa"/>
            <w:tcBorders>
              <w:top w:val="single" w:sz="8" w:space="0" w:color="6D6D6D"/>
              <w:left w:val="single" w:sz="8" w:space="0" w:color="6D6D6D"/>
              <w:bottom w:val="single" w:sz="8" w:space="0" w:color="6D6D6D"/>
              <w:right w:val="single" w:sz="8" w:space="0" w:color="6D6D6D"/>
            </w:tcBorders>
            <w:shd w:val="clear" w:color="auto" w:fill="auto"/>
          </w:tcPr>
          <w:p w14:paraId="5FF0E3D0"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Des guides d’utilisation/formation des applications/outils Excel et Web (en ligne) de production automatisée d’indicateurs et tableaux de bord école/colline/commune/province</w:t>
            </w:r>
          </w:p>
        </w:tc>
        <w:tc>
          <w:tcPr>
            <w:tcW w:w="1139" w:type="dxa"/>
            <w:tcBorders>
              <w:top w:val="single" w:sz="8" w:space="0" w:color="6D6D6D"/>
              <w:left w:val="single" w:sz="8" w:space="0" w:color="6D6D6D"/>
              <w:bottom w:val="single" w:sz="8" w:space="0" w:color="6D6D6D"/>
              <w:right w:val="single" w:sz="8" w:space="0" w:color="6D6D6D"/>
            </w:tcBorders>
            <w:shd w:val="clear" w:color="auto" w:fill="auto"/>
            <w:vAlign w:val="center"/>
          </w:tcPr>
          <w:p w14:paraId="37608039" w14:textId="77777777" w:rsidR="00A1417B" w:rsidRPr="001E479E" w:rsidRDefault="00A1417B" w:rsidP="000A01CE">
            <w:pPr>
              <w:spacing w:before="60" w:after="60" w:line="240" w:lineRule="auto"/>
              <w:rPr>
                <w:rFonts w:ascii="Calibri" w:eastAsia="Arial Unicode MS" w:hAnsi="Calibri" w:cs="Calibri"/>
                <w:color w:val="auto"/>
                <w:lang w:val="en-AU"/>
              </w:rPr>
            </w:pPr>
            <w:r w:rsidRPr="001E479E">
              <w:rPr>
                <w:rFonts w:ascii="Calibri" w:eastAsia="Arial Unicode MS" w:hAnsi="Calibri" w:cs="Calibri"/>
                <w:bCs/>
                <w:color w:val="auto"/>
                <w:lang w:val="en-AU"/>
              </w:rPr>
              <w:t xml:space="preserve">10 </w:t>
            </w:r>
            <w:proofErr w:type="spellStart"/>
            <w:r w:rsidRPr="001E479E">
              <w:rPr>
                <w:rFonts w:ascii="Calibri" w:eastAsia="Arial Unicode MS" w:hAnsi="Calibri" w:cs="Calibri"/>
                <w:bCs/>
                <w:color w:val="auto"/>
                <w:lang w:val="en-AU"/>
              </w:rPr>
              <w:t>jours</w:t>
            </w:r>
            <w:proofErr w:type="spellEnd"/>
            <w:r w:rsidRPr="001E479E">
              <w:rPr>
                <w:color w:val="auto"/>
                <w:szCs w:val="22"/>
              </w:rPr>
              <w:t xml:space="preserve"> </w:t>
            </w:r>
          </w:p>
        </w:tc>
        <w:tc>
          <w:tcPr>
            <w:tcW w:w="1291" w:type="dxa"/>
            <w:vMerge/>
            <w:tcBorders>
              <w:left w:val="single" w:sz="8" w:space="0" w:color="6D6D6D"/>
              <w:bottom w:val="single" w:sz="8" w:space="0" w:color="6D6D6D"/>
              <w:right w:val="single" w:sz="8" w:space="0" w:color="6D6D6D"/>
            </w:tcBorders>
            <w:shd w:val="clear" w:color="auto" w:fill="auto"/>
          </w:tcPr>
          <w:p w14:paraId="0C23E67F" w14:textId="77777777" w:rsidR="00A1417B" w:rsidRPr="001E479E" w:rsidRDefault="00A1417B" w:rsidP="000A01CE">
            <w:pPr>
              <w:spacing w:before="60" w:after="60"/>
              <w:rPr>
                <w:rFonts w:ascii="Calibri" w:eastAsia="Arial Unicode MS" w:hAnsi="Calibri" w:cs="Calibri"/>
                <w:color w:val="auto"/>
                <w:lang w:val="en-AU"/>
              </w:rPr>
            </w:pPr>
          </w:p>
        </w:tc>
      </w:tr>
      <w:tr w:rsidR="00A1417B" w:rsidRPr="001E479E" w14:paraId="1160D331"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51591BF4"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Assurer la migration des données sur la plateforme SQL (financé par l’UNICEF) pour permettre le nettoyage de la base de données des 5 dernières années. Eliminer des doublons et contre vérification sur la base du recensement effectué sous le point b.</w:t>
            </w:r>
          </w:p>
        </w:tc>
        <w:tc>
          <w:tcPr>
            <w:tcW w:w="3142" w:type="dxa"/>
            <w:tcBorders>
              <w:top w:val="single" w:sz="8" w:space="0" w:color="6D6D6D"/>
              <w:left w:val="single" w:sz="8" w:space="0" w:color="6D6D6D"/>
              <w:bottom w:val="single" w:sz="8" w:space="0" w:color="6D6D6D"/>
              <w:right w:val="single" w:sz="8" w:space="0" w:color="6D6D6D"/>
            </w:tcBorders>
            <w:shd w:val="clear" w:color="auto" w:fill="auto"/>
          </w:tcPr>
          <w:p w14:paraId="6292379B"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Une </w:t>
            </w:r>
            <w:bookmarkStart w:id="2" w:name="_Hlk97893283"/>
            <w:r w:rsidRPr="001E479E">
              <w:rPr>
                <w:rFonts w:ascii="Calibri" w:eastAsia="Arial Unicode MS" w:hAnsi="Calibri" w:cs="Calibri"/>
                <w:bCs/>
                <w:color w:val="auto"/>
                <w:lang w:val="fr-FR"/>
              </w:rPr>
              <w:t>documentation technique sur le système de mise en ligne des données, des indicateurs et des tableaux de bord</w:t>
            </w:r>
            <w:bookmarkEnd w:id="2"/>
          </w:p>
        </w:tc>
        <w:tc>
          <w:tcPr>
            <w:tcW w:w="1139" w:type="dxa"/>
            <w:tcBorders>
              <w:top w:val="single" w:sz="8" w:space="0" w:color="6D6D6D"/>
              <w:left w:val="single" w:sz="8" w:space="0" w:color="6D6D6D"/>
              <w:bottom w:val="single" w:sz="8" w:space="0" w:color="6D6D6D"/>
              <w:right w:val="single" w:sz="8" w:space="0" w:color="6D6D6D"/>
            </w:tcBorders>
            <w:shd w:val="clear" w:color="auto" w:fill="auto"/>
            <w:vAlign w:val="center"/>
          </w:tcPr>
          <w:p w14:paraId="1E6C1897" w14:textId="77777777" w:rsidR="00A1417B" w:rsidRPr="001E479E" w:rsidRDefault="00A1417B" w:rsidP="000A01CE">
            <w:pPr>
              <w:spacing w:before="60" w:after="60" w:line="240" w:lineRule="auto"/>
              <w:rPr>
                <w:rFonts w:ascii="Calibri" w:eastAsia="Arial Unicode MS" w:hAnsi="Calibri" w:cs="Calibri"/>
                <w:color w:val="auto"/>
                <w:lang w:val="en-AU"/>
              </w:rPr>
            </w:pPr>
            <w:r w:rsidRPr="001E479E">
              <w:rPr>
                <w:rFonts w:ascii="Calibri" w:eastAsia="Arial Unicode MS" w:hAnsi="Calibri" w:cs="Calibri"/>
                <w:bCs/>
                <w:color w:val="auto"/>
                <w:lang w:val="en-AU"/>
              </w:rPr>
              <w:t xml:space="preserve">15 </w:t>
            </w:r>
            <w:proofErr w:type="spellStart"/>
            <w:r w:rsidRPr="001E479E">
              <w:rPr>
                <w:rFonts w:ascii="Calibri" w:eastAsia="Arial Unicode MS" w:hAnsi="Calibri" w:cs="Calibri"/>
                <w:bCs/>
                <w:color w:val="auto"/>
                <w:lang w:val="en-AU"/>
              </w:rPr>
              <w:t>jours</w:t>
            </w:r>
            <w:proofErr w:type="spellEnd"/>
          </w:p>
        </w:tc>
        <w:tc>
          <w:tcPr>
            <w:tcW w:w="1291" w:type="dxa"/>
            <w:vMerge w:val="restart"/>
            <w:tcBorders>
              <w:top w:val="single" w:sz="8" w:space="0" w:color="6D6D6D"/>
              <w:left w:val="single" w:sz="8" w:space="0" w:color="6D6D6D"/>
              <w:right w:val="single" w:sz="8" w:space="0" w:color="6D6D6D"/>
            </w:tcBorders>
            <w:shd w:val="clear" w:color="auto" w:fill="auto"/>
          </w:tcPr>
          <w:p w14:paraId="33F8262F" w14:textId="77777777" w:rsidR="00A1417B" w:rsidRPr="001E479E" w:rsidRDefault="00A1417B" w:rsidP="000A01CE">
            <w:pPr>
              <w:spacing w:before="60" w:after="60"/>
              <w:rPr>
                <w:rFonts w:ascii="Calibri" w:eastAsia="Arial Unicode MS" w:hAnsi="Calibri" w:cs="Calibri"/>
                <w:color w:val="auto"/>
                <w:lang w:val="en-AU"/>
              </w:rPr>
            </w:pPr>
          </w:p>
          <w:p w14:paraId="51DD9DEF" w14:textId="77777777" w:rsidR="00A1417B" w:rsidRPr="001E479E" w:rsidRDefault="00A1417B" w:rsidP="000A01CE">
            <w:pPr>
              <w:spacing w:before="60" w:after="60"/>
              <w:rPr>
                <w:rFonts w:ascii="Calibri" w:eastAsia="Arial Unicode MS" w:hAnsi="Calibri" w:cs="Calibri"/>
                <w:color w:val="auto"/>
                <w:lang w:val="en-AU"/>
              </w:rPr>
            </w:pPr>
          </w:p>
          <w:p w14:paraId="3E00B0E4"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3B8EF737"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76AED165"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2BA3F66B"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4C3141E9"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18BA55B9"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3F775806" w14:textId="77777777" w:rsidR="00A1417B" w:rsidRPr="001E479E" w:rsidRDefault="00A1417B" w:rsidP="000A01CE">
            <w:pPr>
              <w:spacing w:before="60" w:after="60" w:line="240" w:lineRule="auto"/>
              <w:rPr>
                <w:rFonts w:ascii="Calibri" w:eastAsia="Arial Unicode MS" w:hAnsi="Calibri" w:cs="Calibri"/>
                <w:bCs/>
                <w:color w:val="auto"/>
                <w:lang w:val="en-AU"/>
              </w:rPr>
            </w:pPr>
          </w:p>
          <w:p w14:paraId="6078B266" w14:textId="77777777" w:rsidR="00A1417B" w:rsidRPr="001E479E" w:rsidRDefault="00A1417B" w:rsidP="000A01CE">
            <w:pPr>
              <w:spacing w:before="60" w:after="60" w:line="240" w:lineRule="auto"/>
              <w:rPr>
                <w:rFonts w:ascii="Calibri" w:eastAsia="Arial Unicode MS" w:hAnsi="Calibri" w:cs="Calibri"/>
                <w:color w:val="auto"/>
                <w:lang w:val="en-AU"/>
              </w:rPr>
            </w:pPr>
            <w:r w:rsidRPr="001E479E">
              <w:rPr>
                <w:rFonts w:ascii="Calibri" w:eastAsia="Arial Unicode MS" w:hAnsi="Calibri" w:cs="Calibri"/>
                <w:bCs/>
                <w:color w:val="auto"/>
                <w:lang w:val="en-AU"/>
              </w:rPr>
              <w:t>30%</w:t>
            </w:r>
          </w:p>
        </w:tc>
      </w:tr>
      <w:tr w:rsidR="00A1417B" w:rsidRPr="001E479E" w14:paraId="34A5C53A"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A92B400"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Elaborer un manuel de formation et de maintenance du système.</w:t>
            </w:r>
          </w:p>
        </w:tc>
        <w:tc>
          <w:tcPr>
            <w:tcW w:w="3142" w:type="dxa"/>
            <w:vMerge w:val="restart"/>
            <w:tcBorders>
              <w:top w:val="single" w:sz="8" w:space="0" w:color="6D6D6D"/>
              <w:left w:val="single" w:sz="8" w:space="0" w:color="6D6D6D"/>
              <w:right w:val="single" w:sz="8" w:space="0" w:color="6D6D6D"/>
            </w:tcBorders>
            <w:shd w:val="clear" w:color="auto" w:fill="auto"/>
          </w:tcPr>
          <w:p w14:paraId="79103C7D"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en-AU"/>
              </w:rPr>
            </w:pPr>
            <w:r w:rsidRPr="001E479E">
              <w:rPr>
                <w:rFonts w:ascii="Calibri" w:eastAsia="Arial Unicode MS" w:hAnsi="Calibri" w:cs="Calibri"/>
                <w:bCs/>
                <w:color w:val="auto"/>
                <w:lang w:val="en-AU"/>
              </w:rPr>
              <w:t>Un guide de formation</w:t>
            </w:r>
          </w:p>
        </w:tc>
        <w:tc>
          <w:tcPr>
            <w:tcW w:w="1139" w:type="dxa"/>
            <w:vMerge w:val="restart"/>
            <w:tcBorders>
              <w:top w:val="single" w:sz="8" w:space="0" w:color="6D6D6D"/>
              <w:left w:val="single" w:sz="8" w:space="0" w:color="6D6D6D"/>
              <w:right w:val="single" w:sz="8" w:space="0" w:color="6D6D6D"/>
            </w:tcBorders>
            <w:shd w:val="clear" w:color="auto" w:fill="auto"/>
            <w:vAlign w:val="center"/>
          </w:tcPr>
          <w:p w14:paraId="7EED751A" w14:textId="77777777" w:rsidR="00A1417B" w:rsidRPr="001E479E" w:rsidRDefault="00A1417B" w:rsidP="000A01CE">
            <w:pPr>
              <w:spacing w:before="60" w:after="60" w:line="240" w:lineRule="auto"/>
              <w:rPr>
                <w:rFonts w:ascii="Calibri" w:eastAsia="Arial Unicode MS" w:hAnsi="Calibri" w:cs="Calibri"/>
                <w:color w:val="auto"/>
                <w:lang w:val="en-AU"/>
              </w:rPr>
            </w:pPr>
            <w:r w:rsidRPr="001E479E">
              <w:rPr>
                <w:rFonts w:ascii="Calibri" w:eastAsia="Arial Unicode MS" w:hAnsi="Calibri" w:cs="Calibri"/>
                <w:bCs/>
                <w:color w:val="auto"/>
                <w:lang w:val="en-AU"/>
              </w:rPr>
              <w:t xml:space="preserve">10 </w:t>
            </w:r>
            <w:proofErr w:type="spellStart"/>
            <w:r w:rsidRPr="001E479E">
              <w:rPr>
                <w:rFonts w:ascii="Calibri" w:eastAsia="Arial Unicode MS" w:hAnsi="Calibri" w:cs="Calibri"/>
                <w:bCs/>
                <w:color w:val="auto"/>
                <w:lang w:val="en-AU"/>
              </w:rPr>
              <w:t>jours</w:t>
            </w:r>
            <w:proofErr w:type="spellEnd"/>
          </w:p>
        </w:tc>
        <w:tc>
          <w:tcPr>
            <w:tcW w:w="1291" w:type="dxa"/>
            <w:vMerge/>
            <w:tcBorders>
              <w:left w:val="single" w:sz="8" w:space="0" w:color="6D6D6D"/>
              <w:right w:val="single" w:sz="8" w:space="0" w:color="6D6D6D"/>
            </w:tcBorders>
            <w:shd w:val="clear" w:color="auto" w:fill="auto"/>
          </w:tcPr>
          <w:p w14:paraId="76B263A6" w14:textId="77777777" w:rsidR="00A1417B" w:rsidRPr="001E479E" w:rsidRDefault="00A1417B" w:rsidP="000A01CE">
            <w:pPr>
              <w:spacing w:before="60" w:after="60"/>
              <w:rPr>
                <w:rFonts w:ascii="Calibri" w:eastAsia="Arial Unicode MS" w:hAnsi="Calibri" w:cs="Calibri"/>
                <w:color w:val="auto"/>
                <w:lang w:val="en-AU"/>
              </w:rPr>
            </w:pPr>
          </w:p>
        </w:tc>
      </w:tr>
      <w:tr w:rsidR="00A1417B" w:rsidRPr="000A01CE" w14:paraId="66AD028D"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568C0787"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Intégrer/paramétrer dans la plateforme StatEduc2 des tableaux synthèses (Quick Reports), afin de suivre aisément en temps réel l’évolution de la saisie et de pouvoir sortir en temps réel les tableaux statistiques préliminaires sur les principales thématiques (élèves, enseignants, salles de classes, …) pour l’ensemble des sous-secteurs de l’éducation.</w:t>
            </w:r>
          </w:p>
        </w:tc>
        <w:tc>
          <w:tcPr>
            <w:tcW w:w="3142" w:type="dxa"/>
            <w:vMerge/>
            <w:tcBorders>
              <w:left w:val="single" w:sz="8" w:space="0" w:color="6D6D6D"/>
              <w:right w:val="single" w:sz="8" w:space="0" w:color="6D6D6D"/>
            </w:tcBorders>
            <w:shd w:val="clear" w:color="auto" w:fill="auto"/>
          </w:tcPr>
          <w:p w14:paraId="5509AE7E" w14:textId="77777777" w:rsidR="00A1417B" w:rsidRPr="001E479E" w:rsidRDefault="00A1417B" w:rsidP="000A01CE">
            <w:pPr>
              <w:ind w:left="12" w:hanging="12"/>
              <w:rPr>
                <w:rFonts w:ascii="Calibri" w:eastAsia="Arial Unicode MS" w:hAnsi="Calibri" w:cs="Calibri"/>
                <w:color w:val="auto"/>
                <w:lang w:val="fr-FR"/>
              </w:rPr>
            </w:pPr>
          </w:p>
        </w:tc>
        <w:tc>
          <w:tcPr>
            <w:tcW w:w="1139" w:type="dxa"/>
            <w:vMerge/>
            <w:tcBorders>
              <w:left w:val="single" w:sz="8" w:space="0" w:color="6D6D6D"/>
              <w:right w:val="single" w:sz="8" w:space="0" w:color="6D6D6D"/>
            </w:tcBorders>
            <w:shd w:val="clear" w:color="auto" w:fill="auto"/>
          </w:tcPr>
          <w:p w14:paraId="6F77F98D" w14:textId="77777777" w:rsidR="00A1417B" w:rsidRPr="001E479E" w:rsidRDefault="00A1417B" w:rsidP="000A01CE">
            <w:pPr>
              <w:spacing w:before="60" w:after="60" w:line="240" w:lineRule="auto"/>
              <w:rPr>
                <w:rFonts w:ascii="Calibri" w:eastAsia="Arial Unicode MS" w:hAnsi="Calibri" w:cs="Calibri"/>
                <w:color w:val="auto"/>
                <w:lang w:val="fr-FR"/>
              </w:rPr>
            </w:pPr>
          </w:p>
        </w:tc>
        <w:tc>
          <w:tcPr>
            <w:tcW w:w="1291" w:type="dxa"/>
            <w:vMerge/>
            <w:tcBorders>
              <w:left w:val="single" w:sz="8" w:space="0" w:color="6D6D6D"/>
              <w:right w:val="single" w:sz="8" w:space="0" w:color="6D6D6D"/>
            </w:tcBorders>
            <w:shd w:val="clear" w:color="auto" w:fill="auto"/>
          </w:tcPr>
          <w:p w14:paraId="68AD97FF" w14:textId="77777777" w:rsidR="00A1417B" w:rsidRPr="001E479E" w:rsidRDefault="00A1417B" w:rsidP="000A01CE">
            <w:pPr>
              <w:spacing w:before="60" w:after="60"/>
              <w:rPr>
                <w:rFonts w:ascii="Calibri" w:eastAsia="Arial Unicode MS" w:hAnsi="Calibri" w:cs="Calibri"/>
                <w:color w:val="auto"/>
                <w:lang w:val="fr-FR"/>
              </w:rPr>
            </w:pPr>
          </w:p>
        </w:tc>
      </w:tr>
      <w:tr w:rsidR="00A1417B" w:rsidRPr="000A01CE" w14:paraId="0A540C23"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1647D12A"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Développer une application de production automatisée de tableau de bord de bord école/colline/province pour améliorer le pilotage du système éducatif à tous les niveaux.</w:t>
            </w:r>
          </w:p>
        </w:tc>
        <w:tc>
          <w:tcPr>
            <w:tcW w:w="3142" w:type="dxa"/>
            <w:vMerge/>
            <w:tcBorders>
              <w:left w:val="single" w:sz="8" w:space="0" w:color="6D6D6D"/>
              <w:right w:val="single" w:sz="8" w:space="0" w:color="6D6D6D"/>
            </w:tcBorders>
            <w:shd w:val="clear" w:color="auto" w:fill="auto"/>
          </w:tcPr>
          <w:p w14:paraId="5C2FE7FC" w14:textId="77777777" w:rsidR="00A1417B" w:rsidRPr="001E479E" w:rsidRDefault="00A1417B" w:rsidP="000A01CE">
            <w:pPr>
              <w:ind w:left="12" w:hanging="12"/>
              <w:rPr>
                <w:rFonts w:ascii="Calibri" w:eastAsia="Arial Unicode MS" w:hAnsi="Calibri" w:cs="Calibri"/>
                <w:color w:val="auto"/>
                <w:lang w:val="fr-FR"/>
              </w:rPr>
            </w:pPr>
          </w:p>
        </w:tc>
        <w:tc>
          <w:tcPr>
            <w:tcW w:w="1139" w:type="dxa"/>
            <w:vMerge/>
            <w:tcBorders>
              <w:left w:val="single" w:sz="8" w:space="0" w:color="6D6D6D"/>
              <w:right w:val="single" w:sz="8" w:space="0" w:color="6D6D6D"/>
            </w:tcBorders>
            <w:shd w:val="clear" w:color="auto" w:fill="auto"/>
          </w:tcPr>
          <w:p w14:paraId="34E3A370" w14:textId="77777777" w:rsidR="00A1417B" w:rsidRPr="001E479E" w:rsidRDefault="00A1417B" w:rsidP="000A01CE">
            <w:pPr>
              <w:spacing w:before="60" w:after="60" w:line="240" w:lineRule="auto"/>
              <w:rPr>
                <w:rFonts w:ascii="Calibri" w:eastAsia="Arial Unicode MS" w:hAnsi="Calibri" w:cs="Calibri"/>
                <w:color w:val="auto"/>
                <w:lang w:val="fr-FR"/>
              </w:rPr>
            </w:pPr>
          </w:p>
        </w:tc>
        <w:tc>
          <w:tcPr>
            <w:tcW w:w="1291" w:type="dxa"/>
            <w:vMerge/>
            <w:tcBorders>
              <w:left w:val="single" w:sz="8" w:space="0" w:color="6D6D6D"/>
              <w:right w:val="single" w:sz="8" w:space="0" w:color="6D6D6D"/>
            </w:tcBorders>
            <w:shd w:val="clear" w:color="auto" w:fill="auto"/>
          </w:tcPr>
          <w:p w14:paraId="1C01C0F4" w14:textId="77777777" w:rsidR="00A1417B" w:rsidRPr="001E479E" w:rsidRDefault="00A1417B" w:rsidP="000A01CE">
            <w:pPr>
              <w:spacing w:before="60" w:after="60"/>
              <w:rPr>
                <w:rFonts w:ascii="Calibri" w:eastAsia="Arial Unicode MS" w:hAnsi="Calibri" w:cs="Calibri"/>
                <w:color w:val="auto"/>
                <w:lang w:val="fr-FR"/>
              </w:rPr>
            </w:pPr>
          </w:p>
        </w:tc>
      </w:tr>
      <w:tr w:rsidR="00A1417B" w:rsidRPr="000A01CE" w14:paraId="4D4BC3C4"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556256BB"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Mettre en place des sources de données multisectorielles et pluriannuelles d’indicateurs de l’éducation.</w:t>
            </w:r>
          </w:p>
        </w:tc>
        <w:tc>
          <w:tcPr>
            <w:tcW w:w="3142" w:type="dxa"/>
            <w:vMerge/>
            <w:tcBorders>
              <w:left w:val="single" w:sz="8" w:space="0" w:color="6D6D6D"/>
              <w:right w:val="single" w:sz="8" w:space="0" w:color="6D6D6D"/>
            </w:tcBorders>
            <w:shd w:val="clear" w:color="auto" w:fill="auto"/>
          </w:tcPr>
          <w:p w14:paraId="38A630BB" w14:textId="77777777" w:rsidR="00A1417B" w:rsidRPr="001E479E" w:rsidRDefault="00A1417B" w:rsidP="000A01CE">
            <w:pPr>
              <w:ind w:left="12" w:hanging="12"/>
              <w:rPr>
                <w:rFonts w:ascii="Calibri" w:eastAsia="Arial Unicode MS" w:hAnsi="Calibri" w:cs="Calibri"/>
                <w:color w:val="auto"/>
                <w:lang w:val="fr-FR"/>
              </w:rPr>
            </w:pPr>
          </w:p>
        </w:tc>
        <w:tc>
          <w:tcPr>
            <w:tcW w:w="1139" w:type="dxa"/>
            <w:vMerge/>
            <w:tcBorders>
              <w:left w:val="single" w:sz="8" w:space="0" w:color="6D6D6D"/>
              <w:right w:val="single" w:sz="8" w:space="0" w:color="6D6D6D"/>
            </w:tcBorders>
            <w:shd w:val="clear" w:color="auto" w:fill="auto"/>
          </w:tcPr>
          <w:p w14:paraId="5AA845E1" w14:textId="77777777" w:rsidR="00A1417B" w:rsidRPr="001E479E" w:rsidRDefault="00A1417B" w:rsidP="000A01CE">
            <w:pPr>
              <w:spacing w:before="60" w:after="60" w:line="240" w:lineRule="auto"/>
              <w:rPr>
                <w:rFonts w:ascii="Calibri" w:eastAsia="Arial Unicode MS" w:hAnsi="Calibri" w:cs="Calibri"/>
                <w:color w:val="auto"/>
                <w:lang w:val="fr-FR"/>
              </w:rPr>
            </w:pPr>
          </w:p>
        </w:tc>
        <w:tc>
          <w:tcPr>
            <w:tcW w:w="1291" w:type="dxa"/>
            <w:vMerge/>
            <w:tcBorders>
              <w:left w:val="single" w:sz="8" w:space="0" w:color="6D6D6D"/>
              <w:right w:val="single" w:sz="8" w:space="0" w:color="6D6D6D"/>
            </w:tcBorders>
            <w:shd w:val="clear" w:color="auto" w:fill="auto"/>
          </w:tcPr>
          <w:p w14:paraId="048DC1AD" w14:textId="77777777" w:rsidR="00A1417B" w:rsidRPr="001E479E" w:rsidRDefault="00A1417B" w:rsidP="000A01CE">
            <w:pPr>
              <w:spacing w:before="60" w:after="60"/>
              <w:rPr>
                <w:rFonts w:ascii="Calibri" w:eastAsia="Arial Unicode MS" w:hAnsi="Calibri" w:cs="Calibri"/>
                <w:color w:val="auto"/>
                <w:lang w:val="fr-FR"/>
              </w:rPr>
            </w:pPr>
          </w:p>
        </w:tc>
      </w:tr>
      <w:tr w:rsidR="00A1417B" w:rsidRPr="000A01CE" w14:paraId="0D8E12B1"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6EA21FB3"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Mettre en place un système de présentation des Indicateurs sous forme de </w:t>
            </w:r>
            <w:proofErr w:type="spellStart"/>
            <w:r w:rsidRPr="001E479E">
              <w:rPr>
                <w:rFonts w:ascii="Calibri" w:eastAsia="Arial Unicode MS" w:hAnsi="Calibri" w:cs="Calibri"/>
                <w:bCs/>
                <w:color w:val="auto"/>
                <w:lang w:val="fr-FR"/>
              </w:rPr>
              <w:t>dashboards</w:t>
            </w:r>
            <w:proofErr w:type="spellEnd"/>
            <w:r w:rsidRPr="001E479E">
              <w:rPr>
                <w:rFonts w:ascii="Calibri" w:eastAsia="Arial Unicode MS" w:hAnsi="Calibri" w:cs="Calibri"/>
                <w:bCs/>
                <w:color w:val="auto"/>
                <w:lang w:val="fr-FR"/>
              </w:rPr>
              <w:t xml:space="preserve"> afin de rendre les données digestes et rapidement exploitables par les Managers (aide à la prise de décision au niveau du Ministère).</w:t>
            </w:r>
          </w:p>
        </w:tc>
        <w:tc>
          <w:tcPr>
            <w:tcW w:w="3142" w:type="dxa"/>
            <w:vMerge/>
            <w:tcBorders>
              <w:left w:val="single" w:sz="8" w:space="0" w:color="6D6D6D"/>
              <w:right w:val="single" w:sz="8" w:space="0" w:color="6D6D6D"/>
            </w:tcBorders>
            <w:shd w:val="clear" w:color="auto" w:fill="auto"/>
          </w:tcPr>
          <w:p w14:paraId="5CA70CA3" w14:textId="77777777" w:rsidR="00A1417B" w:rsidRPr="001E479E" w:rsidRDefault="00A1417B" w:rsidP="000A01CE">
            <w:pPr>
              <w:ind w:left="12" w:hanging="12"/>
              <w:rPr>
                <w:rFonts w:ascii="Calibri" w:eastAsia="Arial Unicode MS" w:hAnsi="Calibri" w:cs="Calibri"/>
                <w:color w:val="auto"/>
                <w:lang w:val="fr-FR"/>
              </w:rPr>
            </w:pPr>
          </w:p>
        </w:tc>
        <w:tc>
          <w:tcPr>
            <w:tcW w:w="1139" w:type="dxa"/>
            <w:vMerge/>
            <w:tcBorders>
              <w:left w:val="single" w:sz="8" w:space="0" w:color="6D6D6D"/>
              <w:right w:val="single" w:sz="8" w:space="0" w:color="6D6D6D"/>
            </w:tcBorders>
            <w:shd w:val="clear" w:color="auto" w:fill="auto"/>
          </w:tcPr>
          <w:p w14:paraId="0F9CB7BD" w14:textId="77777777" w:rsidR="00A1417B" w:rsidRPr="001E479E" w:rsidRDefault="00A1417B" w:rsidP="000A01CE">
            <w:pPr>
              <w:spacing w:before="60" w:after="60" w:line="240" w:lineRule="auto"/>
              <w:rPr>
                <w:rFonts w:ascii="Calibri" w:eastAsia="Arial Unicode MS" w:hAnsi="Calibri" w:cs="Calibri"/>
                <w:color w:val="auto"/>
                <w:lang w:val="fr-FR"/>
              </w:rPr>
            </w:pPr>
          </w:p>
        </w:tc>
        <w:tc>
          <w:tcPr>
            <w:tcW w:w="1291" w:type="dxa"/>
            <w:vMerge/>
            <w:tcBorders>
              <w:left w:val="single" w:sz="8" w:space="0" w:color="6D6D6D"/>
              <w:right w:val="single" w:sz="8" w:space="0" w:color="6D6D6D"/>
            </w:tcBorders>
            <w:shd w:val="clear" w:color="auto" w:fill="auto"/>
          </w:tcPr>
          <w:p w14:paraId="0A417E11" w14:textId="77777777" w:rsidR="00A1417B" w:rsidRPr="001E479E" w:rsidRDefault="00A1417B" w:rsidP="000A01CE">
            <w:pPr>
              <w:spacing w:before="60" w:after="60"/>
              <w:rPr>
                <w:rFonts w:ascii="Calibri" w:eastAsia="Arial Unicode MS" w:hAnsi="Calibri" w:cs="Calibri"/>
                <w:color w:val="auto"/>
                <w:lang w:val="fr-FR"/>
              </w:rPr>
            </w:pPr>
          </w:p>
        </w:tc>
      </w:tr>
      <w:tr w:rsidR="00A1417B" w:rsidRPr="000A01CE" w14:paraId="2A014E55"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1E6FD2D7"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Mettre en place une application/site de publication/diffusion des données, des indicateurs et des tableaux de bord école/colline/province, de </w:t>
            </w:r>
            <w:r w:rsidRPr="001E479E">
              <w:rPr>
                <w:rFonts w:ascii="Calibri" w:eastAsia="Arial Unicode MS" w:hAnsi="Calibri" w:cs="Calibri"/>
                <w:bCs/>
                <w:color w:val="auto"/>
                <w:lang w:val="fr-FR"/>
              </w:rPr>
              <w:lastRenderedPageBreak/>
              <w:t xml:space="preserve">l’éducation sur une carte vectorielle de type Google </w:t>
            </w:r>
            <w:proofErr w:type="spellStart"/>
            <w:r w:rsidRPr="001E479E">
              <w:rPr>
                <w:rFonts w:ascii="Calibri" w:eastAsia="Arial Unicode MS" w:hAnsi="Calibri" w:cs="Calibri"/>
                <w:bCs/>
                <w:color w:val="auto"/>
                <w:lang w:val="fr-FR"/>
              </w:rPr>
              <w:t>Map</w:t>
            </w:r>
            <w:proofErr w:type="spellEnd"/>
            <w:r w:rsidRPr="001E479E">
              <w:rPr>
                <w:rFonts w:ascii="Calibri" w:eastAsia="Arial Unicode MS" w:hAnsi="Calibri" w:cs="Calibri"/>
                <w:bCs/>
                <w:color w:val="auto"/>
                <w:lang w:val="fr-FR"/>
              </w:rPr>
              <w:t>.</w:t>
            </w:r>
          </w:p>
        </w:tc>
        <w:tc>
          <w:tcPr>
            <w:tcW w:w="3142" w:type="dxa"/>
            <w:vMerge/>
            <w:tcBorders>
              <w:left w:val="single" w:sz="8" w:space="0" w:color="6D6D6D"/>
              <w:right w:val="single" w:sz="8" w:space="0" w:color="6D6D6D"/>
            </w:tcBorders>
            <w:shd w:val="clear" w:color="auto" w:fill="auto"/>
          </w:tcPr>
          <w:p w14:paraId="42F840F8" w14:textId="77777777" w:rsidR="00A1417B" w:rsidRPr="001E479E" w:rsidRDefault="00A1417B" w:rsidP="000A01CE">
            <w:pPr>
              <w:ind w:left="12" w:hanging="12"/>
              <w:rPr>
                <w:rFonts w:ascii="Calibri" w:eastAsia="Arial Unicode MS" w:hAnsi="Calibri" w:cs="Calibri"/>
                <w:color w:val="auto"/>
                <w:lang w:val="fr-FR"/>
              </w:rPr>
            </w:pPr>
          </w:p>
        </w:tc>
        <w:tc>
          <w:tcPr>
            <w:tcW w:w="1139" w:type="dxa"/>
            <w:vMerge/>
            <w:tcBorders>
              <w:left w:val="single" w:sz="8" w:space="0" w:color="6D6D6D"/>
              <w:right w:val="single" w:sz="8" w:space="0" w:color="6D6D6D"/>
            </w:tcBorders>
            <w:shd w:val="clear" w:color="auto" w:fill="auto"/>
          </w:tcPr>
          <w:p w14:paraId="48E15325" w14:textId="77777777" w:rsidR="00A1417B" w:rsidRPr="001E479E" w:rsidRDefault="00A1417B" w:rsidP="000A01CE">
            <w:pPr>
              <w:spacing w:before="60" w:after="60" w:line="240" w:lineRule="auto"/>
              <w:rPr>
                <w:rFonts w:ascii="Calibri" w:eastAsia="Arial Unicode MS" w:hAnsi="Calibri" w:cs="Calibri"/>
                <w:color w:val="auto"/>
                <w:lang w:val="fr-FR"/>
              </w:rPr>
            </w:pPr>
          </w:p>
        </w:tc>
        <w:tc>
          <w:tcPr>
            <w:tcW w:w="1291" w:type="dxa"/>
            <w:vMerge/>
            <w:tcBorders>
              <w:left w:val="single" w:sz="8" w:space="0" w:color="6D6D6D"/>
              <w:right w:val="single" w:sz="8" w:space="0" w:color="6D6D6D"/>
            </w:tcBorders>
            <w:shd w:val="clear" w:color="auto" w:fill="auto"/>
          </w:tcPr>
          <w:p w14:paraId="073F7F3F" w14:textId="77777777" w:rsidR="00A1417B" w:rsidRPr="001E479E" w:rsidRDefault="00A1417B" w:rsidP="000A01CE">
            <w:pPr>
              <w:spacing w:before="60" w:after="60"/>
              <w:rPr>
                <w:rFonts w:ascii="Calibri" w:eastAsia="Arial Unicode MS" w:hAnsi="Calibri" w:cs="Calibri"/>
                <w:color w:val="auto"/>
                <w:lang w:val="fr-FR"/>
              </w:rPr>
            </w:pPr>
          </w:p>
        </w:tc>
      </w:tr>
      <w:tr w:rsidR="00A1417B" w:rsidRPr="000A01CE" w14:paraId="1C4FA067" w14:textId="77777777" w:rsidTr="000A01CE">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0F26E06F" w14:textId="77777777" w:rsidR="00A1417B" w:rsidRPr="001E479E" w:rsidRDefault="00A1417B"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Elaborer une documentation technique sur le système de mise en ligne des données, des indicateurs et des tableaux de bord.</w:t>
            </w:r>
          </w:p>
        </w:tc>
        <w:tc>
          <w:tcPr>
            <w:tcW w:w="3142" w:type="dxa"/>
            <w:vMerge/>
            <w:tcBorders>
              <w:left w:val="single" w:sz="8" w:space="0" w:color="6D6D6D"/>
              <w:bottom w:val="single" w:sz="8" w:space="0" w:color="6D6D6D"/>
              <w:right w:val="single" w:sz="8" w:space="0" w:color="6D6D6D"/>
            </w:tcBorders>
            <w:shd w:val="clear" w:color="auto" w:fill="auto"/>
          </w:tcPr>
          <w:p w14:paraId="617CB5B9" w14:textId="77777777" w:rsidR="00A1417B" w:rsidRPr="001E479E" w:rsidRDefault="00A1417B" w:rsidP="000A01CE">
            <w:pPr>
              <w:ind w:left="12" w:hanging="12"/>
              <w:rPr>
                <w:rFonts w:ascii="Calibri" w:eastAsia="Arial Unicode MS" w:hAnsi="Calibri" w:cs="Calibri"/>
                <w:color w:val="auto"/>
                <w:lang w:val="fr-FR"/>
              </w:rPr>
            </w:pPr>
          </w:p>
        </w:tc>
        <w:tc>
          <w:tcPr>
            <w:tcW w:w="1139" w:type="dxa"/>
            <w:vMerge/>
            <w:tcBorders>
              <w:left w:val="single" w:sz="8" w:space="0" w:color="6D6D6D"/>
              <w:bottom w:val="single" w:sz="8" w:space="0" w:color="6D6D6D"/>
              <w:right w:val="single" w:sz="8" w:space="0" w:color="6D6D6D"/>
            </w:tcBorders>
            <w:shd w:val="clear" w:color="auto" w:fill="auto"/>
          </w:tcPr>
          <w:p w14:paraId="08546B47" w14:textId="77777777" w:rsidR="00A1417B" w:rsidRPr="001E479E" w:rsidRDefault="00A1417B" w:rsidP="000A01CE">
            <w:pPr>
              <w:spacing w:before="60" w:after="60" w:line="240" w:lineRule="auto"/>
              <w:rPr>
                <w:rFonts w:ascii="Calibri" w:eastAsia="Arial Unicode MS" w:hAnsi="Calibri" w:cs="Calibri"/>
                <w:color w:val="auto"/>
                <w:lang w:val="fr-FR"/>
              </w:rPr>
            </w:pPr>
          </w:p>
        </w:tc>
        <w:tc>
          <w:tcPr>
            <w:tcW w:w="1291" w:type="dxa"/>
            <w:vMerge/>
            <w:tcBorders>
              <w:left w:val="single" w:sz="8" w:space="0" w:color="6D6D6D"/>
              <w:bottom w:val="single" w:sz="8" w:space="0" w:color="6D6D6D"/>
              <w:right w:val="single" w:sz="8" w:space="0" w:color="6D6D6D"/>
            </w:tcBorders>
            <w:shd w:val="clear" w:color="auto" w:fill="auto"/>
          </w:tcPr>
          <w:p w14:paraId="29A439F1" w14:textId="77777777" w:rsidR="00A1417B" w:rsidRPr="001E479E" w:rsidRDefault="00A1417B" w:rsidP="000A01CE">
            <w:pPr>
              <w:spacing w:before="60" w:after="60"/>
              <w:rPr>
                <w:rFonts w:ascii="Calibri" w:eastAsia="Arial Unicode MS" w:hAnsi="Calibri" w:cs="Calibri"/>
                <w:color w:val="auto"/>
                <w:lang w:val="fr-FR"/>
              </w:rPr>
            </w:pPr>
          </w:p>
        </w:tc>
      </w:tr>
    </w:tbl>
    <w:p w14:paraId="38316BEE" w14:textId="77777777" w:rsidR="00C34C2B" w:rsidRPr="001E479E" w:rsidRDefault="00C34C2B" w:rsidP="007A5F4F">
      <w:pPr>
        <w:rPr>
          <w:rFonts w:ascii="Calibri" w:hAnsi="Calibri" w:cs="Calibri"/>
          <w:b/>
          <w:bCs/>
          <w:color w:val="auto"/>
          <w:sz w:val="24"/>
          <w:szCs w:val="24"/>
          <w:u w:val="single"/>
          <w:lang w:val="fr-FR"/>
        </w:rPr>
      </w:pPr>
    </w:p>
    <w:tbl>
      <w:tblPr>
        <w:tblpPr w:leftFromText="180" w:rightFromText="180" w:vertAnchor="page" w:horzAnchor="margin" w:tblpY="381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5413"/>
        <w:gridCol w:w="364"/>
      </w:tblGrid>
      <w:tr w:rsidR="007613B3" w:rsidRPr="000A01CE" w14:paraId="048658EA" w14:textId="77777777" w:rsidTr="000A01CE">
        <w:trPr>
          <w:gridAfter w:val="1"/>
          <w:wAfter w:w="364" w:type="dxa"/>
          <w:trHeight w:val="400"/>
        </w:trPr>
        <w:tc>
          <w:tcPr>
            <w:tcW w:w="4842" w:type="dxa"/>
            <w:tcBorders>
              <w:top w:val="single" w:sz="4" w:space="0" w:color="auto"/>
              <w:left w:val="single" w:sz="4" w:space="0" w:color="auto"/>
              <w:bottom w:val="single" w:sz="4" w:space="0" w:color="auto"/>
              <w:right w:val="single" w:sz="4" w:space="0" w:color="auto"/>
            </w:tcBorders>
            <w:shd w:val="clear" w:color="auto" w:fill="auto"/>
            <w:noWrap/>
            <w:hideMark/>
          </w:tcPr>
          <w:p w14:paraId="591B949E" w14:textId="7BF996B5" w:rsidR="00ED4704" w:rsidRDefault="007613B3" w:rsidP="000A01CE">
            <w:pPr>
              <w:spacing w:before="60" w:line="240" w:lineRule="auto"/>
              <w:rPr>
                <w:rFonts w:ascii="Calibri" w:eastAsia="Arial Unicode MS" w:hAnsi="Calibri" w:cs="Calibri"/>
                <w:b/>
                <w:color w:val="auto"/>
                <w:lang w:val="en-AU"/>
              </w:rPr>
            </w:pPr>
            <w:r w:rsidRPr="001E479E">
              <w:rPr>
                <w:rFonts w:ascii="Calibri" w:eastAsia="Arial Unicode MS" w:hAnsi="Calibri" w:cs="Calibri"/>
                <w:b/>
                <w:color w:val="auto"/>
                <w:lang w:val="en-AU"/>
              </w:rPr>
              <w:t>Minimum Qualifications required:</w:t>
            </w:r>
          </w:p>
          <w:p w14:paraId="3117A3E0" w14:textId="72F6A79B" w:rsidR="00A1417B" w:rsidRDefault="00A1417B" w:rsidP="000A01CE">
            <w:pPr>
              <w:spacing w:before="60" w:line="240" w:lineRule="auto"/>
              <w:rPr>
                <w:rFonts w:ascii="Calibri" w:eastAsia="Arial Unicode MS" w:hAnsi="Calibri" w:cs="Calibri"/>
                <w:b/>
                <w:color w:val="auto"/>
                <w:lang w:val="en-AU"/>
              </w:rPr>
            </w:pPr>
          </w:p>
          <w:p w14:paraId="6E75A2AD" w14:textId="77777777" w:rsidR="00A1417B" w:rsidRPr="000A01CE" w:rsidRDefault="00A1417B" w:rsidP="000A01CE">
            <w:pPr>
              <w:spacing w:before="60" w:line="240" w:lineRule="auto"/>
              <w:rPr>
                <w:rFonts w:ascii="Calibri" w:eastAsia="Arial Unicode MS" w:hAnsi="Calibri" w:cs="Calibri"/>
                <w:color w:val="auto"/>
              </w:rPr>
            </w:pPr>
            <w:r w:rsidRPr="001E479E">
              <w:rPr>
                <w:rFonts w:ascii="Calibri" w:eastAsia="Arial Unicode MS" w:hAnsi="Calibri" w:cs="Calibri"/>
                <w:color w:val="auto"/>
                <w:lang w:val="en-AU"/>
              </w:rPr>
              <w:fldChar w:fldCharType="begin">
                <w:ffData>
                  <w:name w:val="Check6"/>
                  <w:enabled/>
                  <w:calcOnExit w:val="0"/>
                  <w:checkBox>
                    <w:sizeAuto/>
                    <w:default w:val="0"/>
                  </w:checkBox>
                </w:ffData>
              </w:fldChar>
            </w:r>
            <w:r w:rsidRPr="000A01CE">
              <w:rPr>
                <w:rFonts w:ascii="Calibri" w:eastAsia="Arial Unicode MS" w:hAnsi="Calibri" w:cs="Calibri"/>
                <w:color w:val="auto"/>
              </w:rPr>
              <w:instrText xml:space="preserve"> FORMCHECKBOX </w:instrText>
            </w:r>
            <w:r w:rsidR="00520A55">
              <w:rPr>
                <w:rFonts w:ascii="Calibri" w:eastAsia="Arial Unicode MS" w:hAnsi="Calibri" w:cs="Calibri"/>
                <w:color w:val="auto"/>
                <w:lang w:val="en-AU"/>
              </w:rPr>
            </w:r>
            <w:r w:rsidR="00520A55">
              <w:rPr>
                <w:rFonts w:ascii="Calibri" w:eastAsia="Arial Unicode MS" w:hAnsi="Calibri" w:cs="Calibri"/>
                <w:color w:val="auto"/>
                <w:lang w:val="en-AU"/>
              </w:rPr>
              <w:fldChar w:fldCharType="separate"/>
            </w:r>
            <w:r w:rsidRPr="001E479E">
              <w:rPr>
                <w:rFonts w:ascii="Calibri" w:eastAsia="Arial Unicode MS" w:hAnsi="Calibri" w:cs="Calibri"/>
                <w:color w:val="auto"/>
                <w:lang w:val="en-AU"/>
              </w:rPr>
              <w:fldChar w:fldCharType="end"/>
            </w:r>
            <w:r w:rsidRPr="000A01CE">
              <w:rPr>
                <w:rFonts w:ascii="Calibri" w:eastAsia="Arial Unicode MS" w:hAnsi="Calibri" w:cs="Calibri"/>
                <w:color w:val="auto"/>
              </w:rPr>
              <w:t xml:space="preserve"> Bachelors   </w:t>
            </w:r>
            <w:r w:rsidRPr="001E479E">
              <w:rPr>
                <w:rFonts w:ascii="Calibri" w:eastAsia="Arial Unicode MS" w:hAnsi="Calibri" w:cs="Calibri"/>
                <w:color w:val="auto"/>
                <w:lang w:val="en-AU"/>
              </w:rPr>
              <w:fldChar w:fldCharType="begin">
                <w:ffData>
                  <w:name w:val="Check7"/>
                  <w:enabled/>
                  <w:calcOnExit w:val="0"/>
                  <w:checkBox>
                    <w:sizeAuto/>
                    <w:default w:val="1"/>
                  </w:checkBox>
                </w:ffData>
              </w:fldChar>
            </w:r>
            <w:bookmarkStart w:id="3" w:name="Check7"/>
            <w:r w:rsidRPr="000A01CE">
              <w:rPr>
                <w:rFonts w:ascii="Calibri" w:eastAsia="Arial Unicode MS" w:hAnsi="Calibri" w:cs="Calibri"/>
                <w:color w:val="auto"/>
              </w:rPr>
              <w:instrText xml:space="preserve"> FORMCHECKBOX </w:instrText>
            </w:r>
            <w:r w:rsidR="00520A55">
              <w:rPr>
                <w:rFonts w:ascii="Calibri" w:eastAsia="Arial Unicode MS" w:hAnsi="Calibri" w:cs="Calibri"/>
                <w:color w:val="auto"/>
                <w:lang w:val="en-AU"/>
              </w:rPr>
            </w:r>
            <w:r w:rsidR="00520A55">
              <w:rPr>
                <w:rFonts w:ascii="Calibri" w:eastAsia="Arial Unicode MS" w:hAnsi="Calibri" w:cs="Calibri"/>
                <w:color w:val="auto"/>
                <w:lang w:val="en-AU"/>
              </w:rPr>
              <w:fldChar w:fldCharType="separate"/>
            </w:r>
            <w:r w:rsidRPr="001E479E">
              <w:rPr>
                <w:rFonts w:ascii="Calibri" w:eastAsia="Arial Unicode MS" w:hAnsi="Calibri" w:cs="Calibri"/>
                <w:color w:val="auto"/>
                <w:lang w:val="en-AU"/>
              </w:rPr>
              <w:fldChar w:fldCharType="end"/>
            </w:r>
            <w:bookmarkEnd w:id="3"/>
            <w:r w:rsidRPr="000A01CE">
              <w:rPr>
                <w:rFonts w:ascii="Calibri" w:eastAsia="Arial Unicode MS" w:hAnsi="Calibri" w:cs="Calibri"/>
                <w:color w:val="auto"/>
              </w:rPr>
              <w:t xml:space="preserve"> Masters   </w:t>
            </w:r>
            <w:r w:rsidRPr="001E479E">
              <w:rPr>
                <w:rFonts w:ascii="Calibri" w:eastAsia="Arial Unicode MS" w:hAnsi="Calibri" w:cs="Calibri"/>
                <w:color w:val="auto"/>
                <w:lang w:val="en-AU"/>
              </w:rPr>
              <w:fldChar w:fldCharType="begin">
                <w:ffData>
                  <w:name w:val="Check8"/>
                  <w:enabled/>
                  <w:calcOnExit w:val="0"/>
                  <w:checkBox>
                    <w:sizeAuto/>
                    <w:default w:val="0"/>
                  </w:checkBox>
                </w:ffData>
              </w:fldChar>
            </w:r>
            <w:r w:rsidRPr="000A01CE">
              <w:rPr>
                <w:rFonts w:ascii="Calibri" w:eastAsia="Arial Unicode MS" w:hAnsi="Calibri" w:cs="Calibri"/>
                <w:color w:val="auto"/>
              </w:rPr>
              <w:instrText xml:space="preserve"> FORMCHECKBOX </w:instrText>
            </w:r>
            <w:r w:rsidR="00520A55">
              <w:rPr>
                <w:rFonts w:ascii="Calibri" w:eastAsia="Arial Unicode MS" w:hAnsi="Calibri" w:cs="Calibri"/>
                <w:color w:val="auto"/>
                <w:lang w:val="en-AU"/>
              </w:rPr>
            </w:r>
            <w:r w:rsidR="00520A55">
              <w:rPr>
                <w:rFonts w:ascii="Calibri" w:eastAsia="Arial Unicode MS" w:hAnsi="Calibri" w:cs="Calibri"/>
                <w:color w:val="auto"/>
                <w:lang w:val="en-AU"/>
              </w:rPr>
              <w:fldChar w:fldCharType="separate"/>
            </w:r>
            <w:r w:rsidRPr="001E479E">
              <w:rPr>
                <w:rFonts w:ascii="Calibri" w:eastAsia="Arial Unicode MS" w:hAnsi="Calibri" w:cs="Calibri"/>
                <w:color w:val="auto"/>
                <w:lang w:val="en-AU"/>
              </w:rPr>
              <w:fldChar w:fldCharType="end"/>
            </w:r>
            <w:r w:rsidRPr="000A01CE">
              <w:rPr>
                <w:rFonts w:ascii="Calibri" w:eastAsia="Arial Unicode MS" w:hAnsi="Calibri" w:cs="Calibri"/>
                <w:color w:val="auto"/>
              </w:rPr>
              <w:t xml:space="preserve"> PhD   </w:t>
            </w:r>
            <w:r w:rsidRPr="001E479E">
              <w:rPr>
                <w:rFonts w:ascii="Calibri" w:eastAsia="Arial Unicode MS" w:hAnsi="Calibri" w:cs="Calibri"/>
                <w:color w:val="auto"/>
                <w:lang w:val="en-AU"/>
              </w:rPr>
              <w:fldChar w:fldCharType="begin">
                <w:ffData>
                  <w:name w:val="Check9"/>
                  <w:enabled/>
                  <w:calcOnExit w:val="0"/>
                  <w:checkBox>
                    <w:sizeAuto/>
                    <w:default w:val="0"/>
                  </w:checkBox>
                </w:ffData>
              </w:fldChar>
            </w:r>
            <w:r w:rsidRPr="000A01CE">
              <w:rPr>
                <w:rFonts w:ascii="Calibri" w:eastAsia="Arial Unicode MS" w:hAnsi="Calibri" w:cs="Calibri"/>
                <w:color w:val="auto"/>
              </w:rPr>
              <w:instrText xml:space="preserve"> FORMCHECKBOX </w:instrText>
            </w:r>
            <w:r w:rsidR="00520A55">
              <w:rPr>
                <w:rFonts w:ascii="Calibri" w:eastAsia="Arial Unicode MS" w:hAnsi="Calibri" w:cs="Calibri"/>
                <w:color w:val="auto"/>
                <w:lang w:val="en-AU"/>
              </w:rPr>
            </w:r>
            <w:r w:rsidR="00520A55">
              <w:rPr>
                <w:rFonts w:ascii="Calibri" w:eastAsia="Arial Unicode MS" w:hAnsi="Calibri" w:cs="Calibri"/>
                <w:color w:val="auto"/>
                <w:lang w:val="en-AU"/>
              </w:rPr>
              <w:fldChar w:fldCharType="separate"/>
            </w:r>
            <w:r w:rsidRPr="001E479E">
              <w:rPr>
                <w:rFonts w:ascii="Calibri" w:eastAsia="Arial Unicode MS" w:hAnsi="Calibri" w:cs="Calibri"/>
                <w:color w:val="auto"/>
                <w:lang w:val="en-AU"/>
              </w:rPr>
              <w:fldChar w:fldCharType="end"/>
            </w:r>
            <w:r w:rsidRPr="000A01CE">
              <w:rPr>
                <w:rFonts w:ascii="Calibri" w:eastAsia="Arial Unicode MS" w:hAnsi="Calibri" w:cs="Calibri"/>
                <w:color w:val="auto"/>
              </w:rPr>
              <w:t xml:space="preserve"> Other  </w:t>
            </w:r>
          </w:p>
          <w:p w14:paraId="7B88E056" w14:textId="77777777" w:rsidR="00A1417B" w:rsidRPr="001E479E" w:rsidRDefault="00A1417B" w:rsidP="000A01CE">
            <w:pPr>
              <w:spacing w:before="60" w:line="240" w:lineRule="auto"/>
              <w:rPr>
                <w:rFonts w:ascii="Calibri" w:eastAsia="Arial Unicode MS" w:hAnsi="Calibri" w:cs="Calibri"/>
                <w:b/>
                <w:color w:val="auto"/>
                <w:lang w:val="en-AU"/>
              </w:rPr>
            </w:pPr>
          </w:p>
          <w:p w14:paraId="7C1A89CF" w14:textId="77777777" w:rsidR="00DA2FF3" w:rsidRDefault="00D859DF" w:rsidP="000A01CE">
            <w:pPr>
              <w:pStyle w:val="ListParagraph"/>
              <w:widowControl w:val="0"/>
              <w:numPr>
                <w:ilvl w:val="0"/>
                <w:numId w:val="27"/>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Avoir un diplôme d’ingénieur de conception en informatique, option génie logiciel et gestion des bases de données ;</w:t>
            </w:r>
          </w:p>
          <w:p w14:paraId="20A534FA" w14:textId="77777777" w:rsidR="00A1417B" w:rsidRDefault="00A1417B" w:rsidP="000A01CE">
            <w:pPr>
              <w:widowControl w:val="0"/>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p>
          <w:p w14:paraId="721A0C28" w14:textId="68C1A972" w:rsidR="00A1417B" w:rsidRPr="00A1417B" w:rsidRDefault="00A1417B" w:rsidP="000A01CE">
            <w:pPr>
              <w:widowControl w:val="0"/>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color w:val="auto"/>
                <w:lang w:val="fr-FR"/>
              </w:rPr>
              <w:t xml:space="preserve">Enter </w:t>
            </w:r>
            <w:r w:rsidR="003E1B37" w:rsidRPr="001E479E">
              <w:rPr>
                <w:rFonts w:ascii="Calibri" w:eastAsia="Arial Unicode MS" w:hAnsi="Calibri" w:cs="Calibri"/>
                <w:color w:val="auto"/>
                <w:lang w:val="fr-FR"/>
              </w:rPr>
              <w:t>Disciplines :</w:t>
            </w:r>
            <w:r w:rsidRPr="001E479E">
              <w:rPr>
                <w:rFonts w:ascii="Calibri" w:eastAsia="Arial Unicode MS" w:hAnsi="Calibri" w:cs="Calibri"/>
                <w:color w:val="auto"/>
                <w:lang w:val="fr-FR"/>
              </w:rPr>
              <w:t xml:space="preserve"> </w:t>
            </w:r>
            <w:r w:rsidRPr="001E479E">
              <w:rPr>
                <w:rFonts w:ascii="Calibri" w:eastAsia="Arial Unicode MS" w:hAnsi="Calibri" w:cs="Calibri"/>
                <w:bCs/>
                <w:color w:val="auto"/>
                <w:lang w:val="fr-FR"/>
              </w:rPr>
              <w:t xml:space="preserve"> Génie logiciel et gestion des bases de données</w:t>
            </w:r>
          </w:p>
        </w:tc>
        <w:tc>
          <w:tcPr>
            <w:tcW w:w="5413" w:type="dxa"/>
            <w:tcBorders>
              <w:top w:val="single" w:sz="4" w:space="0" w:color="auto"/>
              <w:left w:val="single" w:sz="4" w:space="0" w:color="auto"/>
              <w:bottom w:val="single" w:sz="4" w:space="0" w:color="auto"/>
              <w:right w:val="single" w:sz="4" w:space="0" w:color="auto"/>
            </w:tcBorders>
            <w:shd w:val="clear" w:color="auto" w:fill="auto"/>
            <w:noWrap/>
            <w:hideMark/>
          </w:tcPr>
          <w:p w14:paraId="7C405B3F" w14:textId="77777777" w:rsidR="007613B3" w:rsidRPr="001E479E" w:rsidRDefault="007613B3" w:rsidP="000A01CE">
            <w:pPr>
              <w:widowControl w:val="0"/>
              <w:suppressAutoHyphens/>
              <w:autoSpaceDN w:val="0"/>
              <w:spacing w:before="100" w:beforeAutospacing="1" w:after="100" w:afterAutospacing="1" w:line="240" w:lineRule="auto"/>
              <w:jc w:val="both"/>
              <w:textAlignment w:val="baseline"/>
              <w:rPr>
                <w:rFonts w:ascii="Calibri" w:eastAsia="Arial Unicode MS" w:hAnsi="Calibri" w:cs="Calibri"/>
                <w:bCs/>
                <w:color w:val="auto"/>
                <w:lang w:val="en-AU"/>
              </w:rPr>
            </w:pPr>
            <w:r w:rsidRPr="001E479E">
              <w:rPr>
                <w:rFonts w:ascii="Calibri" w:eastAsia="Arial Unicode MS" w:hAnsi="Calibri" w:cs="Calibri"/>
                <w:bCs/>
                <w:color w:val="auto"/>
                <w:lang w:val="en-AU"/>
              </w:rPr>
              <w:t>Knowledge/Expertise/Skills required:</w:t>
            </w:r>
          </w:p>
          <w:p w14:paraId="0462D7D5" w14:textId="43B46802"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Disposer d’une solide expertise et expérience sur la plateforme StatEduc2 et l’élaboration d’applications web sous </w:t>
            </w:r>
            <w:r w:rsidR="00374BC7" w:rsidRPr="001E479E">
              <w:rPr>
                <w:rFonts w:ascii="Calibri" w:eastAsia="Arial Unicode MS" w:hAnsi="Calibri" w:cs="Calibri"/>
                <w:bCs/>
                <w:color w:val="auto"/>
                <w:lang w:val="fr-FR"/>
              </w:rPr>
              <w:t>PHP.</w:t>
            </w:r>
          </w:p>
          <w:p w14:paraId="5EFECBD6" w14:textId="77777777"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Avoir une large expérience dans l’élaboration des bases de données scolaires relationnelles ; </w:t>
            </w:r>
          </w:p>
          <w:p w14:paraId="6FDEB931" w14:textId="77777777"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Disposer d’une expertise sur l’automatisation de l’élaboration des annuaires scolaires ;</w:t>
            </w:r>
          </w:p>
          <w:p w14:paraId="4E736E95" w14:textId="0F9ADC0A"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 xml:space="preserve">Avoir une parfaite maîtrise de la gestion des bases de données sous Microsoft ACCESS, SQL </w:t>
            </w:r>
            <w:r w:rsidR="00374BC7" w:rsidRPr="001E479E">
              <w:rPr>
                <w:rFonts w:ascii="Calibri" w:eastAsia="Arial Unicode MS" w:hAnsi="Calibri" w:cs="Calibri"/>
                <w:bCs/>
                <w:color w:val="auto"/>
                <w:lang w:val="fr-FR"/>
              </w:rPr>
              <w:t>Server.</w:t>
            </w:r>
          </w:p>
          <w:p w14:paraId="3D66259E" w14:textId="53B8E552"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Avoir une bonne connaissance des Systèmes d’Information pour la Gestion de l’Education (SIGE</w:t>
            </w:r>
            <w:proofErr w:type="gramStart"/>
            <w:r w:rsidR="00374BC7" w:rsidRPr="001E479E">
              <w:rPr>
                <w:rFonts w:ascii="Calibri" w:eastAsia="Arial Unicode MS" w:hAnsi="Calibri" w:cs="Calibri"/>
                <w:bCs/>
                <w:color w:val="auto"/>
                <w:lang w:val="fr-FR"/>
              </w:rPr>
              <w:t>);</w:t>
            </w:r>
            <w:proofErr w:type="gramEnd"/>
          </w:p>
          <w:p w14:paraId="12BDEFEC" w14:textId="77777777"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Disposer de bonnes notions de base sur les statistiques de l’éducation ;</w:t>
            </w:r>
          </w:p>
          <w:p w14:paraId="1BA9FC31" w14:textId="77777777"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Avoir une bonne connaissance sur l’élaboration des annuaires statistiques et le calcul des indicateurs scolaires ;</w:t>
            </w:r>
          </w:p>
          <w:p w14:paraId="633C93E7" w14:textId="77777777"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Avoir une bonne aptitude à travailler en équipe ;</w:t>
            </w:r>
          </w:p>
          <w:p w14:paraId="2602F649" w14:textId="77777777" w:rsidR="00ED4704" w:rsidRPr="001E479E" w:rsidRDefault="00ED4704" w:rsidP="000A01CE">
            <w:pPr>
              <w:pStyle w:val="ListParagraph"/>
              <w:widowControl w:val="0"/>
              <w:numPr>
                <w:ilvl w:val="0"/>
                <w:numId w:val="25"/>
              </w:numPr>
              <w:suppressAutoHyphens/>
              <w:autoSpaceDN w:val="0"/>
              <w:spacing w:before="100" w:beforeAutospacing="1" w:after="100" w:afterAutospacing="1" w:line="259" w:lineRule="auto"/>
              <w:jc w:val="both"/>
              <w:textAlignment w:val="baseline"/>
              <w:rPr>
                <w:rFonts w:ascii="Calibri" w:eastAsia="Arial Unicode MS" w:hAnsi="Calibri" w:cs="Calibri"/>
                <w:bCs/>
                <w:color w:val="auto"/>
                <w:lang w:val="fr-FR"/>
              </w:rPr>
            </w:pPr>
            <w:r w:rsidRPr="001E479E">
              <w:rPr>
                <w:rFonts w:ascii="Calibri" w:eastAsia="Arial Unicode MS" w:hAnsi="Calibri" w:cs="Calibri"/>
                <w:bCs/>
                <w:color w:val="auto"/>
                <w:lang w:val="fr-FR"/>
              </w:rPr>
              <w:t>Avoir une parfaite maîtrise du français.</w:t>
            </w:r>
          </w:p>
          <w:p w14:paraId="6C51430E" w14:textId="1875DA31" w:rsidR="00763E66" w:rsidRPr="001E479E" w:rsidRDefault="00763E66" w:rsidP="000A01CE">
            <w:pPr>
              <w:widowControl w:val="0"/>
              <w:suppressAutoHyphens/>
              <w:autoSpaceDN w:val="0"/>
              <w:spacing w:before="100" w:beforeAutospacing="1" w:after="100" w:afterAutospacing="1" w:line="240" w:lineRule="auto"/>
              <w:ind w:left="360"/>
              <w:jc w:val="both"/>
              <w:textAlignment w:val="baseline"/>
              <w:rPr>
                <w:rFonts w:ascii="Calibri" w:eastAsia="Arial Unicode MS" w:hAnsi="Calibri" w:cs="Calibri"/>
                <w:bCs/>
                <w:color w:val="auto"/>
                <w:lang w:val="fr-FR"/>
              </w:rPr>
            </w:pPr>
          </w:p>
        </w:tc>
      </w:tr>
      <w:tr w:rsidR="007613B3" w:rsidRPr="007613B3" w14:paraId="7C881194" w14:textId="77777777" w:rsidTr="000A01CE">
        <w:tc>
          <w:tcPr>
            <w:tcW w:w="10619" w:type="dxa"/>
            <w:gridSpan w:val="3"/>
            <w:tcBorders>
              <w:top w:val="nil"/>
              <w:left w:val="nil"/>
              <w:bottom w:val="nil"/>
              <w:right w:val="nil"/>
            </w:tcBorders>
            <w:shd w:val="clear" w:color="auto" w:fill="auto"/>
            <w:noWrap/>
            <w:hideMark/>
          </w:tcPr>
          <w:p w14:paraId="558F7BAA" w14:textId="77777777" w:rsidR="007613B3" w:rsidRPr="007613B3" w:rsidRDefault="007613B3" w:rsidP="000A01CE">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0A01CE">
        <w:tc>
          <w:tcPr>
            <w:tcW w:w="10619" w:type="dxa"/>
            <w:gridSpan w:val="3"/>
            <w:tcBorders>
              <w:top w:val="nil"/>
              <w:left w:val="nil"/>
              <w:bottom w:val="nil"/>
              <w:right w:val="nil"/>
            </w:tcBorders>
            <w:shd w:val="clear" w:color="auto" w:fill="auto"/>
            <w:noWrap/>
          </w:tcPr>
          <w:p w14:paraId="0B175F64" w14:textId="77777777" w:rsidR="007613B3" w:rsidRPr="007613B3" w:rsidRDefault="007613B3" w:rsidP="000A01CE">
            <w:pPr>
              <w:spacing w:line="240" w:lineRule="auto"/>
              <w:ind w:left="342" w:hanging="342"/>
              <w:rPr>
                <w:rFonts w:ascii="Calibri" w:eastAsia="Arial Unicode MS" w:hAnsi="Calibri" w:cs="Calibri"/>
                <w:color w:val="auto"/>
                <w:sz w:val="16"/>
                <w:szCs w:val="16"/>
                <w:lang w:val="en-AU"/>
              </w:rPr>
            </w:pPr>
          </w:p>
        </w:tc>
      </w:tr>
    </w:tbl>
    <w:p w14:paraId="6A9C38E1" w14:textId="77777777" w:rsidR="007613B3" w:rsidRPr="007613B3" w:rsidRDefault="007613B3" w:rsidP="00C34C2B">
      <w:pPr>
        <w:spacing w:before="120" w:after="200"/>
        <w:rPr>
          <w:rFonts w:ascii="Calibri" w:eastAsia="Arial Unicode MS" w:hAnsi="Calibri" w:cs="Calibri"/>
        </w:rPr>
      </w:pPr>
    </w:p>
    <w:sectPr w:rsidR="007613B3" w:rsidRPr="007613B3"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727A5" w14:textId="77777777" w:rsidR="00520A55" w:rsidRDefault="00520A55" w:rsidP="000C3710">
      <w:r>
        <w:separator/>
      </w:r>
    </w:p>
  </w:endnote>
  <w:endnote w:type="continuationSeparator" w:id="0">
    <w:p w14:paraId="2AA35C3A" w14:textId="77777777" w:rsidR="00520A55" w:rsidRDefault="00520A55"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53292" w14:textId="77777777" w:rsidR="00520A55" w:rsidRDefault="00520A55" w:rsidP="000C3710">
      <w:r>
        <w:separator/>
      </w:r>
    </w:p>
  </w:footnote>
  <w:footnote w:type="continuationSeparator" w:id="0">
    <w:p w14:paraId="1BBA9336" w14:textId="77777777" w:rsidR="00520A55" w:rsidRDefault="00520A55"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70964B3"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E708AE3"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866556"/>
    <w:multiLevelType w:val="hybridMultilevel"/>
    <w:tmpl w:val="1D4A0950"/>
    <w:lvl w:ilvl="0" w:tplc="3B8CDDEA">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79C3FDB"/>
    <w:multiLevelType w:val="hybridMultilevel"/>
    <w:tmpl w:val="2732EC0E"/>
    <w:lvl w:ilvl="0" w:tplc="68DC57AE">
      <w:numFmt w:val="bullet"/>
      <w:lvlText w:val="-"/>
      <w:lvlJc w:val="left"/>
      <w:pPr>
        <w:ind w:left="720" w:hanging="360"/>
      </w:pPr>
      <w:rPr>
        <w:rFonts w:ascii="Calibri" w:eastAsia="Times New Roman" w:hAnsi="Calibri" w:cs="Calibri"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98213A"/>
    <w:multiLevelType w:val="hybridMultilevel"/>
    <w:tmpl w:val="710AFE5C"/>
    <w:lvl w:ilvl="0" w:tplc="6838B2C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5761FF4"/>
    <w:multiLevelType w:val="hybridMultilevel"/>
    <w:tmpl w:val="F970E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2C4DE8"/>
    <w:multiLevelType w:val="hybridMultilevel"/>
    <w:tmpl w:val="E7D2E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B291D"/>
    <w:multiLevelType w:val="multilevel"/>
    <w:tmpl w:val="37D6957E"/>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9"/>
  </w:num>
  <w:num w:numId="2">
    <w:abstractNumId w:val="23"/>
  </w:num>
  <w:num w:numId="3">
    <w:abstractNumId w:val="16"/>
  </w:num>
  <w:num w:numId="4">
    <w:abstractNumId w:val="13"/>
  </w:num>
  <w:num w:numId="5">
    <w:abstractNumId w:val="12"/>
  </w:num>
  <w:num w:numId="6">
    <w:abstractNumId w:val="18"/>
  </w:num>
  <w:num w:numId="7">
    <w:abstractNumId w:val="24"/>
  </w:num>
  <w:num w:numId="8">
    <w:abstractNumId w:val="25"/>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2"/>
  </w:num>
  <w:num w:numId="11">
    <w:abstractNumId w:val="21"/>
  </w:num>
  <w:num w:numId="12">
    <w:abstractNumId w:val="26"/>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29"/>
  </w:num>
  <w:num w:numId="26">
    <w:abstractNumId w:val="27"/>
  </w:num>
  <w:num w:numId="27">
    <w:abstractNumId w:val="28"/>
  </w:num>
  <w:num w:numId="28">
    <w:abstractNumId w:val="20"/>
  </w:num>
  <w:num w:numId="29">
    <w:abstractNumId w:val="1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4F59"/>
    <w:rsid w:val="00005930"/>
    <w:rsid w:val="00007E4A"/>
    <w:rsid w:val="00011685"/>
    <w:rsid w:val="00011ED0"/>
    <w:rsid w:val="00015A41"/>
    <w:rsid w:val="000241D1"/>
    <w:rsid w:val="00025F29"/>
    <w:rsid w:val="00030834"/>
    <w:rsid w:val="000310DE"/>
    <w:rsid w:val="000415E9"/>
    <w:rsid w:val="0004433C"/>
    <w:rsid w:val="00056A18"/>
    <w:rsid w:val="000576DC"/>
    <w:rsid w:val="00066CAF"/>
    <w:rsid w:val="00076437"/>
    <w:rsid w:val="00096574"/>
    <w:rsid w:val="000A01CE"/>
    <w:rsid w:val="000A7045"/>
    <w:rsid w:val="000B5829"/>
    <w:rsid w:val="000C3710"/>
    <w:rsid w:val="000C5314"/>
    <w:rsid w:val="000C61F2"/>
    <w:rsid w:val="000D6CA1"/>
    <w:rsid w:val="000E1755"/>
    <w:rsid w:val="000E3253"/>
    <w:rsid w:val="000E414F"/>
    <w:rsid w:val="000E4D76"/>
    <w:rsid w:val="000F6440"/>
    <w:rsid w:val="00107B7A"/>
    <w:rsid w:val="00112DEE"/>
    <w:rsid w:val="0013541A"/>
    <w:rsid w:val="001555CD"/>
    <w:rsid w:val="0015757A"/>
    <w:rsid w:val="001637C2"/>
    <w:rsid w:val="00164C95"/>
    <w:rsid w:val="00165C9B"/>
    <w:rsid w:val="00175E9C"/>
    <w:rsid w:val="00176711"/>
    <w:rsid w:val="00182C1C"/>
    <w:rsid w:val="00183FA9"/>
    <w:rsid w:val="00186E13"/>
    <w:rsid w:val="00191341"/>
    <w:rsid w:val="001A4B63"/>
    <w:rsid w:val="001B190C"/>
    <w:rsid w:val="001B4278"/>
    <w:rsid w:val="001B5D66"/>
    <w:rsid w:val="001E112E"/>
    <w:rsid w:val="001E479E"/>
    <w:rsid w:val="001E4BA7"/>
    <w:rsid w:val="001E7405"/>
    <w:rsid w:val="001F2300"/>
    <w:rsid w:val="001F651F"/>
    <w:rsid w:val="002072D5"/>
    <w:rsid w:val="00213A86"/>
    <w:rsid w:val="00215E5E"/>
    <w:rsid w:val="0022123C"/>
    <w:rsid w:val="00222F56"/>
    <w:rsid w:val="00223FBD"/>
    <w:rsid w:val="00234AD4"/>
    <w:rsid w:val="002460BE"/>
    <w:rsid w:val="00247353"/>
    <w:rsid w:val="00257BD7"/>
    <w:rsid w:val="002659AE"/>
    <w:rsid w:val="0026644B"/>
    <w:rsid w:val="00284E45"/>
    <w:rsid w:val="00285811"/>
    <w:rsid w:val="00293255"/>
    <w:rsid w:val="002952E4"/>
    <w:rsid w:val="002B2A26"/>
    <w:rsid w:val="002B6832"/>
    <w:rsid w:val="002B7647"/>
    <w:rsid w:val="002B7E57"/>
    <w:rsid w:val="002C5AA6"/>
    <w:rsid w:val="002D0C54"/>
    <w:rsid w:val="002D16CD"/>
    <w:rsid w:val="002D38E9"/>
    <w:rsid w:val="002D4DEF"/>
    <w:rsid w:val="002D62E4"/>
    <w:rsid w:val="002D797B"/>
    <w:rsid w:val="002D7D3A"/>
    <w:rsid w:val="002E443D"/>
    <w:rsid w:val="002F2367"/>
    <w:rsid w:val="00306E1E"/>
    <w:rsid w:val="003117C2"/>
    <w:rsid w:val="00316900"/>
    <w:rsid w:val="00320886"/>
    <w:rsid w:val="0032151B"/>
    <w:rsid w:val="00330DDB"/>
    <w:rsid w:val="0034354C"/>
    <w:rsid w:val="00350865"/>
    <w:rsid w:val="00353547"/>
    <w:rsid w:val="00361834"/>
    <w:rsid w:val="003655B8"/>
    <w:rsid w:val="0037152D"/>
    <w:rsid w:val="00372E4B"/>
    <w:rsid w:val="00373453"/>
    <w:rsid w:val="0037425C"/>
    <w:rsid w:val="00374BC7"/>
    <w:rsid w:val="00377BF5"/>
    <w:rsid w:val="00377E69"/>
    <w:rsid w:val="0038200F"/>
    <w:rsid w:val="0039694E"/>
    <w:rsid w:val="00396BF0"/>
    <w:rsid w:val="003A00B6"/>
    <w:rsid w:val="003B3F83"/>
    <w:rsid w:val="003B52AA"/>
    <w:rsid w:val="003B7251"/>
    <w:rsid w:val="003C1BC1"/>
    <w:rsid w:val="003C4672"/>
    <w:rsid w:val="003C48FF"/>
    <w:rsid w:val="003C6001"/>
    <w:rsid w:val="003D04D3"/>
    <w:rsid w:val="003D0F6C"/>
    <w:rsid w:val="003D2BCF"/>
    <w:rsid w:val="003D42F1"/>
    <w:rsid w:val="003E1B37"/>
    <w:rsid w:val="003E4220"/>
    <w:rsid w:val="003E7E75"/>
    <w:rsid w:val="00407258"/>
    <w:rsid w:val="00407853"/>
    <w:rsid w:val="00411F46"/>
    <w:rsid w:val="004160E9"/>
    <w:rsid w:val="00416141"/>
    <w:rsid w:val="00422305"/>
    <w:rsid w:val="00432748"/>
    <w:rsid w:val="00435AB0"/>
    <w:rsid w:val="0043646D"/>
    <w:rsid w:val="004429D6"/>
    <w:rsid w:val="00445CFF"/>
    <w:rsid w:val="00472BBD"/>
    <w:rsid w:val="004809D8"/>
    <w:rsid w:val="00481D11"/>
    <w:rsid w:val="00485229"/>
    <w:rsid w:val="004A64C8"/>
    <w:rsid w:val="004A6CA6"/>
    <w:rsid w:val="004A73F6"/>
    <w:rsid w:val="004B276A"/>
    <w:rsid w:val="004D08C1"/>
    <w:rsid w:val="004D2245"/>
    <w:rsid w:val="004D5D35"/>
    <w:rsid w:val="004E2D0B"/>
    <w:rsid w:val="004E67BE"/>
    <w:rsid w:val="004F1A27"/>
    <w:rsid w:val="005032F9"/>
    <w:rsid w:val="005075C6"/>
    <w:rsid w:val="00507CFC"/>
    <w:rsid w:val="00511A6E"/>
    <w:rsid w:val="00520A55"/>
    <w:rsid w:val="00523923"/>
    <w:rsid w:val="005246DC"/>
    <w:rsid w:val="005302AB"/>
    <w:rsid w:val="005356FF"/>
    <w:rsid w:val="00544027"/>
    <w:rsid w:val="00544A89"/>
    <w:rsid w:val="0054592E"/>
    <w:rsid w:val="0054669E"/>
    <w:rsid w:val="00562FE9"/>
    <w:rsid w:val="00584C43"/>
    <w:rsid w:val="00591246"/>
    <w:rsid w:val="0059671E"/>
    <w:rsid w:val="005A643C"/>
    <w:rsid w:val="005B3739"/>
    <w:rsid w:val="005D0BBF"/>
    <w:rsid w:val="005E4666"/>
    <w:rsid w:val="005E629A"/>
    <w:rsid w:val="005E6FE1"/>
    <w:rsid w:val="005F3AFC"/>
    <w:rsid w:val="006007DA"/>
    <w:rsid w:val="00626681"/>
    <w:rsid w:val="00631581"/>
    <w:rsid w:val="00632D59"/>
    <w:rsid w:val="00653E0C"/>
    <w:rsid w:val="006579B7"/>
    <w:rsid w:val="00661BE1"/>
    <w:rsid w:val="006642C4"/>
    <w:rsid w:val="006736E6"/>
    <w:rsid w:val="00673C25"/>
    <w:rsid w:val="00674FCB"/>
    <w:rsid w:val="00674FD1"/>
    <w:rsid w:val="00675319"/>
    <w:rsid w:val="0068083F"/>
    <w:rsid w:val="0068655C"/>
    <w:rsid w:val="006907A6"/>
    <w:rsid w:val="006921D1"/>
    <w:rsid w:val="006968C1"/>
    <w:rsid w:val="006A5CFB"/>
    <w:rsid w:val="006B4298"/>
    <w:rsid w:val="006B7F68"/>
    <w:rsid w:val="006C5703"/>
    <w:rsid w:val="006C688F"/>
    <w:rsid w:val="006C7D5A"/>
    <w:rsid w:val="006D1BD7"/>
    <w:rsid w:val="006D6C69"/>
    <w:rsid w:val="006E3839"/>
    <w:rsid w:val="006F3357"/>
    <w:rsid w:val="007001DA"/>
    <w:rsid w:val="0070263C"/>
    <w:rsid w:val="00711C06"/>
    <w:rsid w:val="0071297F"/>
    <w:rsid w:val="00713677"/>
    <w:rsid w:val="00715A42"/>
    <w:rsid w:val="00730704"/>
    <w:rsid w:val="00746FD9"/>
    <w:rsid w:val="0075490C"/>
    <w:rsid w:val="00756755"/>
    <w:rsid w:val="007613B3"/>
    <w:rsid w:val="00762170"/>
    <w:rsid w:val="00763E66"/>
    <w:rsid w:val="007716C8"/>
    <w:rsid w:val="00772B19"/>
    <w:rsid w:val="00774438"/>
    <w:rsid w:val="00781F2B"/>
    <w:rsid w:val="007826F8"/>
    <w:rsid w:val="007A5F4F"/>
    <w:rsid w:val="007B6BF8"/>
    <w:rsid w:val="007C7F78"/>
    <w:rsid w:val="007D5968"/>
    <w:rsid w:val="007D7750"/>
    <w:rsid w:val="007E73F5"/>
    <w:rsid w:val="00801C3E"/>
    <w:rsid w:val="0080603F"/>
    <w:rsid w:val="00806AF3"/>
    <w:rsid w:val="00810FE3"/>
    <w:rsid w:val="00812FFA"/>
    <w:rsid w:val="00813D3A"/>
    <w:rsid w:val="00845125"/>
    <w:rsid w:val="00855652"/>
    <w:rsid w:val="00861563"/>
    <w:rsid w:val="00873C12"/>
    <w:rsid w:val="00883D70"/>
    <w:rsid w:val="00884F21"/>
    <w:rsid w:val="008B0A0B"/>
    <w:rsid w:val="008B3BDE"/>
    <w:rsid w:val="008C23F7"/>
    <w:rsid w:val="008C5761"/>
    <w:rsid w:val="008D79DD"/>
    <w:rsid w:val="008E375E"/>
    <w:rsid w:val="0090065A"/>
    <w:rsid w:val="0090354E"/>
    <w:rsid w:val="00903E9D"/>
    <w:rsid w:val="00905953"/>
    <w:rsid w:val="00906E2A"/>
    <w:rsid w:val="0091382D"/>
    <w:rsid w:val="009203FF"/>
    <w:rsid w:val="00922852"/>
    <w:rsid w:val="009247BD"/>
    <w:rsid w:val="009457A1"/>
    <w:rsid w:val="009512AC"/>
    <w:rsid w:val="00951CC4"/>
    <w:rsid w:val="0095309F"/>
    <w:rsid w:val="00960715"/>
    <w:rsid w:val="0096249B"/>
    <w:rsid w:val="00962F0B"/>
    <w:rsid w:val="009637FF"/>
    <w:rsid w:val="00963C52"/>
    <w:rsid w:val="009657AF"/>
    <w:rsid w:val="00970EBD"/>
    <w:rsid w:val="00975550"/>
    <w:rsid w:val="009A1C63"/>
    <w:rsid w:val="009B3C84"/>
    <w:rsid w:val="009B6BAC"/>
    <w:rsid w:val="009C737D"/>
    <w:rsid w:val="009D5ED5"/>
    <w:rsid w:val="009E758D"/>
    <w:rsid w:val="00A01ECF"/>
    <w:rsid w:val="00A0375D"/>
    <w:rsid w:val="00A11FA1"/>
    <w:rsid w:val="00A1417B"/>
    <w:rsid w:val="00A15D12"/>
    <w:rsid w:val="00A265BB"/>
    <w:rsid w:val="00A3477D"/>
    <w:rsid w:val="00A56EC7"/>
    <w:rsid w:val="00A71AB3"/>
    <w:rsid w:val="00A73543"/>
    <w:rsid w:val="00A7722C"/>
    <w:rsid w:val="00A80C16"/>
    <w:rsid w:val="00A8354D"/>
    <w:rsid w:val="00A94248"/>
    <w:rsid w:val="00AB1FFC"/>
    <w:rsid w:val="00AB418F"/>
    <w:rsid w:val="00AC083A"/>
    <w:rsid w:val="00AC127D"/>
    <w:rsid w:val="00AC78AC"/>
    <w:rsid w:val="00AE48C4"/>
    <w:rsid w:val="00AF077A"/>
    <w:rsid w:val="00AF3B0E"/>
    <w:rsid w:val="00B02636"/>
    <w:rsid w:val="00B05ABF"/>
    <w:rsid w:val="00B07FA7"/>
    <w:rsid w:val="00B14BE6"/>
    <w:rsid w:val="00B22FF0"/>
    <w:rsid w:val="00B25923"/>
    <w:rsid w:val="00B34AF2"/>
    <w:rsid w:val="00B35723"/>
    <w:rsid w:val="00B37107"/>
    <w:rsid w:val="00B37562"/>
    <w:rsid w:val="00B410CB"/>
    <w:rsid w:val="00B4127F"/>
    <w:rsid w:val="00B415E7"/>
    <w:rsid w:val="00B51D78"/>
    <w:rsid w:val="00B53FEF"/>
    <w:rsid w:val="00B63A22"/>
    <w:rsid w:val="00B63E76"/>
    <w:rsid w:val="00B66698"/>
    <w:rsid w:val="00B677D8"/>
    <w:rsid w:val="00B814B7"/>
    <w:rsid w:val="00B84938"/>
    <w:rsid w:val="00B96CAE"/>
    <w:rsid w:val="00BB1006"/>
    <w:rsid w:val="00BB4A6F"/>
    <w:rsid w:val="00BC0092"/>
    <w:rsid w:val="00BC06E9"/>
    <w:rsid w:val="00BC1676"/>
    <w:rsid w:val="00BC5470"/>
    <w:rsid w:val="00BD1B97"/>
    <w:rsid w:val="00BF605F"/>
    <w:rsid w:val="00C046B2"/>
    <w:rsid w:val="00C17FBC"/>
    <w:rsid w:val="00C25DC0"/>
    <w:rsid w:val="00C300D9"/>
    <w:rsid w:val="00C34C2B"/>
    <w:rsid w:val="00C401E7"/>
    <w:rsid w:val="00C448ED"/>
    <w:rsid w:val="00C62EFB"/>
    <w:rsid w:val="00C67879"/>
    <w:rsid w:val="00C756A2"/>
    <w:rsid w:val="00C77B32"/>
    <w:rsid w:val="00C865B3"/>
    <w:rsid w:val="00C92726"/>
    <w:rsid w:val="00C928D5"/>
    <w:rsid w:val="00C972F8"/>
    <w:rsid w:val="00CB3A47"/>
    <w:rsid w:val="00CB69ED"/>
    <w:rsid w:val="00CD3149"/>
    <w:rsid w:val="00CD3E5C"/>
    <w:rsid w:val="00CE46A7"/>
    <w:rsid w:val="00CE769B"/>
    <w:rsid w:val="00D03797"/>
    <w:rsid w:val="00D042EF"/>
    <w:rsid w:val="00D05933"/>
    <w:rsid w:val="00D10937"/>
    <w:rsid w:val="00D212D8"/>
    <w:rsid w:val="00D24E21"/>
    <w:rsid w:val="00D26336"/>
    <w:rsid w:val="00D3303B"/>
    <w:rsid w:val="00D35998"/>
    <w:rsid w:val="00D460BE"/>
    <w:rsid w:val="00D512A5"/>
    <w:rsid w:val="00D5258E"/>
    <w:rsid w:val="00D541BC"/>
    <w:rsid w:val="00D61A9A"/>
    <w:rsid w:val="00D64897"/>
    <w:rsid w:val="00D67207"/>
    <w:rsid w:val="00D675C4"/>
    <w:rsid w:val="00D72B70"/>
    <w:rsid w:val="00D72E5E"/>
    <w:rsid w:val="00D84097"/>
    <w:rsid w:val="00D859DF"/>
    <w:rsid w:val="00D86D91"/>
    <w:rsid w:val="00D8799A"/>
    <w:rsid w:val="00D92AE1"/>
    <w:rsid w:val="00DA2FF3"/>
    <w:rsid w:val="00DE034A"/>
    <w:rsid w:val="00DE40E3"/>
    <w:rsid w:val="00DF5326"/>
    <w:rsid w:val="00E00B53"/>
    <w:rsid w:val="00E05D94"/>
    <w:rsid w:val="00E13740"/>
    <w:rsid w:val="00E2153C"/>
    <w:rsid w:val="00E24709"/>
    <w:rsid w:val="00E5163F"/>
    <w:rsid w:val="00E54A5D"/>
    <w:rsid w:val="00E55B2F"/>
    <w:rsid w:val="00E612AA"/>
    <w:rsid w:val="00E61D56"/>
    <w:rsid w:val="00E630F3"/>
    <w:rsid w:val="00E654DC"/>
    <w:rsid w:val="00E82A93"/>
    <w:rsid w:val="00E83654"/>
    <w:rsid w:val="00E867E1"/>
    <w:rsid w:val="00EA6D4D"/>
    <w:rsid w:val="00EB76A6"/>
    <w:rsid w:val="00EC4F5B"/>
    <w:rsid w:val="00EC5E3A"/>
    <w:rsid w:val="00ED4704"/>
    <w:rsid w:val="00ED6DBB"/>
    <w:rsid w:val="00EE2FEF"/>
    <w:rsid w:val="00EE3A60"/>
    <w:rsid w:val="00EE7747"/>
    <w:rsid w:val="00EF5A83"/>
    <w:rsid w:val="00F027D0"/>
    <w:rsid w:val="00F02F00"/>
    <w:rsid w:val="00F2296D"/>
    <w:rsid w:val="00F2300E"/>
    <w:rsid w:val="00F23EA7"/>
    <w:rsid w:val="00F24528"/>
    <w:rsid w:val="00F246C3"/>
    <w:rsid w:val="00F31886"/>
    <w:rsid w:val="00F349B0"/>
    <w:rsid w:val="00F35E74"/>
    <w:rsid w:val="00F509A4"/>
    <w:rsid w:val="00F61309"/>
    <w:rsid w:val="00F7484C"/>
    <w:rsid w:val="00F8130B"/>
    <w:rsid w:val="00F834BF"/>
    <w:rsid w:val="00F8439C"/>
    <w:rsid w:val="00F90618"/>
    <w:rsid w:val="00F97B64"/>
    <w:rsid w:val="00FA55CB"/>
    <w:rsid w:val="00FB6F21"/>
    <w:rsid w:val="00FC1ABD"/>
    <w:rsid w:val="00FE1530"/>
    <w:rsid w:val="00FE3848"/>
    <w:rsid w:val="00FE3903"/>
    <w:rsid w:val="00FE46C7"/>
    <w:rsid w:val="00FF5A1E"/>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D4704"/>
    <w:rPr>
      <w:rFonts w:ascii="Arial" w:eastAsia="MS PGothic"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998305">
      <w:bodyDiv w:val="1"/>
      <w:marLeft w:val="0"/>
      <w:marRight w:val="0"/>
      <w:marTop w:val="0"/>
      <w:marBottom w:val="0"/>
      <w:divBdr>
        <w:top w:val="none" w:sz="0" w:space="0" w:color="auto"/>
        <w:left w:val="none" w:sz="0" w:space="0" w:color="auto"/>
        <w:bottom w:val="none" w:sz="0" w:space="0" w:color="auto"/>
        <w:right w:val="none" w:sz="0" w:space="0" w:color="auto"/>
      </w:divBdr>
    </w:div>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2.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4.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5.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6.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7.xml><?xml version="1.0" encoding="utf-8"?>
<ds:datastoreItem xmlns:ds="http://schemas.openxmlformats.org/officeDocument/2006/customXml" ds:itemID="{772846B9-902D-440B-94DC-17586128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TotalTime>
  <Pages>3</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Sandra Ndayikeze</cp:lastModifiedBy>
  <cp:revision>2</cp:revision>
  <cp:lastPrinted>2017-01-06T22:20:00Z</cp:lastPrinted>
  <dcterms:created xsi:type="dcterms:W3CDTF">2022-04-22T12:27:00Z</dcterms:created>
  <dcterms:modified xsi:type="dcterms:W3CDTF">2022-04-22T12:27:00Z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