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691"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845"/>
        <w:gridCol w:w="2394"/>
        <w:gridCol w:w="1649"/>
      </w:tblGrid>
      <w:tr w:rsidR="00286865" w:rsidRPr="00135D59" w:rsidTr="00286865">
        <w:trPr>
          <w:trHeight w:val="586"/>
        </w:trPr>
        <w:tc>
          <w:tcPr>
            <w:tcW w:w="5845" w:type="dxa"/>
            <w:tcBorders>
              <w:top w:val="nil"/>
              <w:left w:val="single" w:sz="4" w:space="0" w:color="auto"/>
              <w:bottom w:val="single" w:sz="8" w:space="0" w:color="6D6D6D"/>
              <w:right w:val="nil"/>
            </w:tcBorders>
            <w:shd w:val="clear" w:color="auto" w:fill="auto"/>
            <w:noWrap/>
          </w:tcPr>
          <w:p w:rsidR="00286865" w:rsidRPr="00135D59" w:rsidRDefault="00286865" w:rsidP="00286865">
            <w:pPr>
              <w:rPr>
                <w:b/>
                <w:bCs/>
                <w:i/>
                <w:lang w:val="en-AU"/>
              </w:rPr>
            </w:pPr>
            <w:r w:rsidRPr="00135D59">
              <w:rPr>
                <w:b/>
                <w:bCs/>
                <w:lang w:val="en-AU"/>
              </w:rPr>
              <w:t>Tasks/Milestone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6D6D6D"/>
              <w:right w:val="nil"/>
            </w:tcBorders>
            <w:shd w:val="clear" w:color="auto" w:fill="auto"/>
          </w:tcPr>
          <w:p w:rsidR="00286865" w:rsidRPr="00135D59" w:rsidRDefault="00286865" w:rsidP="00286865">
            <w:pPr>
              <w:rPr>
                <w:b/>
                <w:bCs/>
                <w:i/>
                <w:lang w:val="en-AU"/>
              </w:rPr>
            </w:pPr>
            <w:r w:rsidRPr="00135D59">
              <w:rPr>
                <w:b/>
                <w:bCs/>
                <w:lang w:val="en-AU"/>
              </w:rPr>
              <w:t>Deliverables/Outputs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6D6D6D"/>
              <w:right w:val="nil"/>
            </w:tcBorders>
            <w:shd w:val="clear" w:color="auto" w:fill="auto"/>
          </w:tcPr>
          <w:p w:rsidR="00286865" w:rsidRPr="00135D59" w:rsidRDefault="00286865" w:rsidP="00286865">
            <w:pPr>
              <w:rPr>
                <w:b/>
                <w:bCs/>
                <w:i/>
                <w:lang w:val="en-AU"/>
              </w:rPr>
            </w:pPr>
            <w:r w:rsidRPr="00135D59">
              <w:rPr>
                <w:b/>
                <w:bCs/>
                <w:lang w:val="en-AU"/>
              </w:rPr>
              <w:t>Timeline</w:t>
            </w:r>
          </w:p>
        </w:tc>
      </w:tr>
      <w:tr w:rsidR="00286865" w:rsidRPr="00135D59" w:rsidTr="00286865">
        <w:trPr>
          <w:trHeight w:val="1206"/>
        </w:trPr>
        <w:tc>
          <w:tcPr>
            <w:tcW w:w="584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t>Assessment of Federal Ministry of Education Operational, Planning and management gaps.</w:t>
            </w:r>
          </w:p>
        </w:tc>
        <w:tc>
          <w:tcPr>
            <w:tcW w:w="23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rPr>
                <w:lang w:val="en-AU"/>
              </w:rPr>
              <w:t xml:space="preserve">Briefing and presentation </w:t>
            </w:r>
          </w:p>
        </w:tc>
        <w:tc>
          <w:tcPr>
            <w:tcW w:w="16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t>2 months after signing</w:t>
            </w:r>
          </w:p>
        </w:tc>
      </w:tr>
      <w:tr w:rsidR="00286865" w:rsidRPr="00135D59" w:rsidTr="00286865">
        <w:trPr>
          <w:trHeight w:val="438"/>
        </w:trPr>
        <w:tc>
          <w:tcPr>
            <w:tcW w:w="584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rPr>
                <w:lang w:val="en-AU"/>
              </w:rPr>
              <w:t xml:space="preserve">An organizational review report that provides clear roles and responsibilities of the Ministry’s Directorates and align them to Federal </w:t>
            </w:r>
            <w:proofErr w:type="spellStart"/>
            <w:r w:rsidRPr="00135D59">
              <w:rPr>
                <w:lang w:val="en-AU"/>
              </w:rPr>
              <w:t>MoE</w:t>
            </w:r>
            <w:proofErr w:type="spellEnd"/>
            <w:r w:rsidRPr="00135D59">
              <w:rPr>
                <w:lang w:val="en-AU"/>
              </w:rPr>
              <w:t xml:space="preserve"> core functions. The report should clarify mandates of each directorate and capacity building plan.</w:t>
            </w:r>
          </w:p>
        </w:tc>
        <w:tc>
          <w:tcPr>
            <w:tcW w:w="23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rPr>
                <w:lang w:val="en-AU"/>
              </w:rPr>
              <w:t>Report</w:t>
            </w:r>
          </w:p>
        </w:tc>
        <w:tc>
          <w:tcPr>
            <w:tcW w:w="16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rPr>
                <w:lang w:val="en-AU"/>
              </w:rPr>
              <w:t>3 months after signing</w:t>
            </w:r>
          </w:p>
        </w:tc>
      </w:tr>
      <w:tr w:rsidR="00286865" w:rsidRPr="00135D59" w:rsidTr="00286865">
        <w:trPr>
          <w:trHeight w:val="471"/>
        </w:trPr>
        <w:tc>
          <w:tcPr>
            <w:tcW w:w="584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rPr>
                <w:lang w:val="en-AU"/>
              </w:rPr>
              <w:t>Guidelines on the operational Plan devel</w:t>
            </w:r>
            <w:bookmarkStart w:id="0" w:name="_GoBack"/>
            <w:bookmarkEnd w:id="0"/>
            <w:r w:rsidRPr="00135D59">
              <w:rPr>
                <w:lang w:val="en-AU"/>
              </w:rPr>
              <w:t>opment adopted</w:t>
            </w:r>
          </w:p>
        </w:tc>
        <w:tc>
          <w:tcPr>
            <w:tcW w:w="23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rPr>
                <w:lang w:val="en-AU"/>
              </w:rPr>
              <w:t>Guidelines</w:t>
            </w:r>
          </w:p>
        </w:tc>
        <w:tc>
          <w:tcPr>
            <w:tcW w:w="16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rPr>
                <w:lang w:val="en-AU"/>
              </w:rPr>
              <w:t xml:space="preserve">4 </w:t>
            </w:r>
            <w:r w:rsidRPr="00135D59">
              <w:t>months</w:t>
            </w:r>
            <w:r w:rsidRPr="00135D59">
              <w:rPr>
                <w:lang w:val="en-AU"/>
              </w:rPr>
              <w:t xml:space="preserve"> after signing</w:t>
            </w:r>
          </w:p>
        </w:tc>
      </w:tr>
      <w:tr w:rsidR="00286865" w:rsidRPr="00135D59" w:rsidTr="00286865">
        <w:trPr>
          <w:trHeight w:val="471"/>
        </w:trPr>
        <w:tc>
          <w:tcPr>
            <w:tcW w:w="584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t xml:space="preserve">Operational Plan for </w:t>
            </w:r>
            <w:proofErr w:type="spellStart"/>
            <w:r w:rsidRPr="00135D59">
              <w:t>FMoE</w:t>
            </w:r>
            <w:proofErr w:type="spellEnd"/>
            <w:r w:rsidRPr="00135D59">
              <w:t xml:space="preserve"> for 2021-2022 including Detailed costed Annual Education Plan</w:t>
            </w:r>
          </w:p>
        </w:tc>
        <w:tc>
          <w:tcPr>
            <w:tcW w:w="23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pPr>
              <w:rPr>
                <w:lang w:val="en-AU"/>
              </w:rPr>
            </w:pPr>
            <w:proofErr w:type="spellStart"/>
            <w:r w:rsidRPr="00135D59">
              <w:rPr>
                <w:lang w:val="en-AU"/>
              </w:rPr>
              <w:t>FMoE</w:t>
            </w:r>
            <w:proofErr w:type="spellEnd"/>
            <w:r w:rsidRPr="00135D59">
              <w:rPr>
                <w:lang w:val="en-AU"/>
              </w:rPr>
              <w:t xml:space="preserve"> Operational Plan</w:t>
            </w:r>
          </w:p>
        </w:tc>
        <w:tc>
          <w:tcPr>
            <w:tcW w:w="16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rPr>
                <w:lang w:val="en-AU"/>
              </w:rPr>
              <w:t xml:space="preserve">5 </w:t>
            </w:r>
            <w:r w:rsidRPr="00135D59">
              <w:t>months</w:t>
            </w:r>
            <w:r w:rsidRPr="00135D59">
              <w:rPr>
                <w:lang w:val="en-AU"/>
              </w:rPr>
              <w:t xml:space="preserve"> after signing</w:t>
            </w:r>
          </w:p>
        </w:tc>
      </w:tr>
      <w:tr w:rsidR="00286865" w:rsidRPr="00135D59" w:rsidTr="00286865">
        <w:trPr>
          <w:trHeight w:val="471"/>
        </w:trPr>
        <w:tc>
          <w:tcPr>
            <w:tcW w:w="584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t>Support the regular operationalization of the Education Sector Coordination forums and Organize regular and ad-hoc meetings</w:t>
            </w:r>
          </w:p>
        </w:tc>
        <w:tc>
          <w:tcPr>
            <w:tcW w:w="23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rPr>
                <w:lang w:val="en-AU"/>
              </w:rPr>
              <w:t xml:space="preserve">Meetings Minutes/presentations  </w:t>
            </w:r>
          </w:p>
        </w:tc>
        <w:tc>
          <w:tcPr>
            <w:tcW w:w="16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pPr>
              <w:rPr>
                <w:lang w:val="en-AU"/>
              </w:rPr>
            </w:pPr>
            <w:r w:rsidRPr="00135D59">
              <w:rPr>
                <w:lang w:val="en-AU"/>
              </w:rPr>
              <w:t xml:space="preserve">6 </w:t>
            </w:r>
            <w:r w:rsidRPr="00135D59">
              <w:t>months</w:t>
            </w:r>
            <w:r w:rsidRPr="00135D59">
              <w:rPr>
                <w:lang w:val="en-AU"/>
              </w:rPr>
              <w:t xml:space="preserve"> after signing</w:t>
            </w:r>
          </w:p>
        </w:tc>
      </w:tr>
      <w:tr w:rsidR="00286865" w:rsidRPr="00135D59" w:rsidTr="00286865">
        <w:trPr>
          <w:trHeight w:val="728"/>
        </w:trPr>
        <w:tc>
          <w:tcPr>
            <w:tcW w:w="584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:rsidR="00286865" w:rsidRPr="00135D59" w:rsidRDefault="00286865" w:rsidP="00286865">
            <w:r w:rsidRPr="00135D59">
              <w:t>National Implementation plan for age 6-year old children 100% enrolment in grade 1 with target, key activities, policies and cost;</w:t>
            </w:r>
          </w:p>
        </w:tc>
        <w:tc>
          <w:tcPr>
            <w:tcW w:w="23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r w:rsidRPr="00135D59">
              <w:t>National Plan is developed and agreed</w:t>
            </w:r>
          </w:p>
        </w:tc>
        <w:tc>
          <w:tcPr>
            <w:tcW w:w="16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r w:rsidRPr="00135D59">
              <w:t>7 months after signing</w:t>
            </w:r>
          </w:p>
        </w:tc>
      </w:tr>
      <w:tr w:rsidR="00286865" w:rsidRPr="00135D59" w:rsidTr="00286865">
        <w:trPr>
          <w:trHeight w:val="471"/>
        </w:trPr>
        <w:tc>
          <w:tcPr>
            <w:tcW w:w="584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:rsidR="00286865" w:rsidRPr="00135D59" w:rsidRDefault="00286865" w:rsidP="00286865">
            <w:r w:rsidRPr="00135D59">
              <w:t xml:space="preserve">Support the Preparation of FMOE internal monitoring system to all education </w:t>
            </w:r>
            <w:proofErr w:type="spellStart"/>
            <w:r w:rsidRPr="00135D59">
              <w:t>programmes</w:t>
            </w:r>
            <w:proofErr w:type="spellEnd"/>
            <w:r w:rsidRPr="00135D59">
              <w:t xml:space="preserve"> at national and state level;</w:t>
            </w:r>
          </w:p>
        </w:tc>
        <w:tc>
          <w:tcPr>
            <w:tcW w:w="23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r w:rsidRPr="00135D59">
              <w:t xml:space="preserve">Presentations, guidelines and meeting minutes. </w:t>
            </w:r>
          </w:p>
        </w:tc>
        <w:tc>
          <w:tcPr>
            <w:tcW w:w="16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r w:rsidRPr="00135D59">
              <w:t>8 months after signing</w:t>
            </w:r>
          </w:p>
        </w:tc>
      </w:tr>
      <w:tr w:rsidR="00286865" w:rsidRPr="00135D59" w:rsidTr="00286865">
        <w:trPr>
          <w:trHeight w:val="471"/>
        </w:trPr>
        <w:tc>
          <w:tcPr>
            <w:tcW w:w="584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:rsidR="00286865" w:rsidRPr="00135D59" w:rsidRDefault="00286865" w:rsidP="00286865">
            <w:r w:rsidRPr="00135D59">
              <w:t>Support the preparation of the Ministry of Education mid-year and end of year progress reports for 2021 -2022;</w:t>
            </w:r>
          </w:p>
        </w:tc>
        <w:tc>
          <w:tcPr>
            <w:tcW w:w="23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r w:rsidRPr="00135D59">
              <w:t>Reports, Presentations, guidelines and meeting minutes.</w:t>
            </w:r>
          </w:p>
        </w:tc>
        <w:tc>
          <w:tcPr>
            <w:tcW w:w="16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r w:rsidRPr="00135D59">
              <w:t>9 months after signing</w:t>
            </w:r>
          </w:p>
        </w:tc>
      </w:tr>
      <w:tr w:rsidR="00286865" w:rsidRPr="00135D59" w:rsidTr="00286865">
        <w:trPr>
          <w:trHeight w:val="471"/>
        </w:trPr>
        <w:tc>
          <w:tcPr>
            <w:tcW w:w="584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:rsidR="00286865" w:rsidRPr="00135D59" w:rsidRDefault="00286865" w:rsidP="00286865">
            <w:r w:rsidRPr="00135D59">
              <w:t>Support provided to the Education budget 2022-2023 process, through draft budget calculations and prioritization of activities</w:t>
            </w:r>
          </w:p>
        </w:tc>
        <w:tc>
          <w:tcPr>
            <w:tcW w:w="23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r w:rsidRPr="00135D59">
              <w:t>Reports, Presentations, guidelines and meeting minutes.</w:t>
            </w:r>
          </w:p>
        </w:tc>
        <w:tc>
          <w:tcPr>
            <w:tcW w:w="16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r w:rsidRPr="00135D59">
              <w:t xml:space="preserve">10 Months </w:t>
            </w:r>
          </w:p>
        </w:tc>
      </w:tr>
      <w:tr w:rsidR="00286865" w:rsidRPr="00135D59" w:rsidTr="00286865">
        <w:trPr>
          <w:trHeight w:val="471"/>
        </w:trPr>
        <w:tc>
          <w:tcPr>
            <w:tcW w:w="584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:rsidR="00286865" w:rsidRPr="00135D59" w:rsidRDefault="00286865" w:rsidP="00286865">
            <w:r w:rsidRPr="00135D59">
              <w:t xml:space="preserve">Support the preparation of the Joint Sector Review and Annual Sector Performance Report </w:t>
            </w:r>
          </w:p>
        </w:tc>
        <w:tc>
          <w:tcPr>
            <w:tcW w:w="23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r w:rsidRPr="00135D59">
              <w:t>Reports, Presentations, guidelines and meeting minutes.</w:t>
            </w:r>
          </w:p>
        </w:tc>
        <w:tc>
          <w:tcPr>
            <w:tcW w:w="16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:rsidR="00286865" w:rsidRPr="00135D59" w:rsidRDefault="00286865" w:rsidP="00286865">
            <w:r w:rsidRPr="00135D59">
              <w:t>11.5 months after signing</w:t>
            </w:r>
          </w:p>
        </w:tc>
      </w:tr>
    </w:tbl>
    <w:p w:rsidR="005A73E7" w:rsidRPr="00135D59" w:rsidRDefault="005A73E7" w:rsidP="00135D59"/>
    <w:sectPr w:rsidR="005A73E7" w:rsidRPr="00135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4021CF"/>
    <w:multiLevelType w:val="hybridMultilevel"/>
    <w:tmpl w:val="9AE27FA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A26728"/>
    <w:multiLevelType w:val="multilevel"/>
    <w:tmpl w:val="765ABF6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bCs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Arial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Calibri" w:hAnsi="Calibri" w:cs="Arial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Calibri" w:hAnsi="Calibri" w:cs="Arial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Calibri" w:hAnsi="Calibri" w:cs="Arial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="Calibri" w:hAnsi="Calibri" w:cs="Arial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ascii="Calibri" w:hAnsi="Calibri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="Calibri" w:hAnsi="Calibri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ascii="Calibri" w:hAnsi="Calibri" w:cs="Arial" w:hint="default"/>
      </w:rPr>
    </w:lvl>
  </w:abstractNum>
  <w:abstractNum w:abstractNumId="2" w15:restartNumberingAfterBreak="0">
    <w:nsid w:val="7CAB7BF2"/>
    <w:multiLevelType w:val="multilevel"/>
    <w:tmpl w:val="8042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663"/>
    <w:rsid w:val="00034663"/>
    <w:rsid w:val="00135D59"/>
    <w:rsid w:val="00286865"/>
    <w:rsid w:val="00372808"/>
    <w:rsid w:val="005A73E7"/>
    <w:rsid w:val="00DB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0735D"/>
  <w15:chartTrackingRefBased/>
  <w15:docId w15:val="{F1EA884F-0576-4062-9A99-3CED568F7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Bullet 1,Bullets"/>
    <w:basedOn w:val="Normal"/>
    <w:link w:val="ListParagraphChar"/>
    <w:uiPriority w:val="34"/>
    <w:qFormat/>
    <w:rsid w:val="00034663"/>
    <w:pPr>
      <w:spacing w:after="0" w:line="276" w:lineRule="auto"/>
      <w:ind w:left="720"/>
      <w:contextualSpacing/>
    </w:pPr>
    <w:rPr>
      <w:rFonts w:ascii="Arial" w:eastAsia="MS PGothic" w:hAnsi="Arial" w:cs="Times New Roman"/>
      <w:color w:val="000000"/>
      <w:sz w:val="20"/>
      <w:szCs w:val="20"/>
    </w:rPr>
  </w:style>
  <w:style w:type="character" w:customStyle="1" w:styleId="ListParagraphChar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link w:val="ListParagraph"/>
    <w:uiPriority w:val="34"/>
    <w:rsid w:val="00034663"/>
    <w:rPr>
      <w:rFonts w:ascii="Arial" w:eastAsia="MS PGothic" w:hAnsi="Arial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3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Reham Elzain</dc:creator>
  <cp:keywords/>
  <dc:description/>
  <cp:lastModifiedBy>Reham Elzain</cp:lastModifiedBy>
  <cp:revision>1</cp:revision>
  <dcterms:created xsi:type="dcterms:W3CDTF">2021-03-09T12:51:00Z</dcterms:created>
  <dcterms:modified xsi:type="dcterms:W3CDTF">2021-03-09T14:10:00Z</dcterms:modified>
</cp:coreProperties>
</file>