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"/>
        <w:gridCol w:w="3118"/>
        <w:gridCol w:w="697"/>
        <w:gridCol w:w="730"/>
        <w:gridCol w:w="507"/>
        <w:gridCol w:w="507"/>
        <w:gridCol w:w="507"/>
        <w:gridCol w:w="4585"/>
        <w:gridCol w:w="1792"/>
      </w:tblGrid>
      <w:tr w:rsidR="00514F8C" w:rsidRPr="007A530F" w14:paraId="0ED861AE" w14:textId="77777777" w:rsidTr="007F4A98">
        <w:trPr>
          <w:trHeight w:val="282"/>
        </w:trPr>
        <w:tc>
          <w:tcPr>
            <w:tcW w:w="0" w:type="auto"/>
            <w:vMerge w:val="restart"/>
          </w:tcPr>
          <w:p w14:paraId="29871BB5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A530F">
              <w:rPr>
                <w:rFonts w:ascii="Arial" w:hAnsi="Arial" w:cs="Arial"/>
                <w:b/>
                <w:sz w:val="20"/>
                <w:szCs w:val="20"/>
              </w:rPr>
              <w:t>Sr. No</w:t>
            </w:r>
          </w:p>
        </w:tc>
        <w:tc>
          <w:tcPr>
            <w:tcW w:w="0" w:type="auto"/>
            <w:vMerge w:val="restart"/>
          </w:tcPr>
          <w:p w14:paraId="3F3EB569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A530F">
              <w:rPr>
                <w:rFonts w:ascii="Arial" w:hAnsi="Arial" w:cs="Arial"/>
                <w:b/>
                <w:sz w:val="20"/>
                <w:szCs w:val="20"/>
              </w:rPr>
              <w:t xml:space="preserve">Themes </w:t>
            </w:r>
          </w:p>
        </w:tc>
        <w:tc>
          <w:tcPr>
            <w:tcW w:w="0" w:type="auto"/>
            <w:gridSpan w:val="5"/>
          </w:tcPr>
          <w:p w14:paraId="63C261FF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A530F">
              <w:rPr>
                <w:rFonts w:ascii="Arial" w:hAnsi="Arial" w:cs="Arial"/>
                <w:b/>
                <w:sz w:val="20"/>
                <w:szCs w:val="20"/>
              </w:rPr>
              <w:t>Duration of experience (pls. tick)</w:t>
            </w:r>
          </w:p>
        </w:tc>
        <w:tc>
          <w:tcPr>
            <w:tcW w:w="0" w:type="auto"/>
            <w:vMerge w:val="restart"/>
          </w:tcPr>
          <w:p w14:paraId="33366035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A530F">
              <w:rPr>
                <w:rFonts w:ascii="Arial" w:hAnsi="Arial" w:cs="Arial"/>
                <w:b/>
                <w:sz w:val="20"/>
                <w:szCs w:val="20"/>
              </w:rPr>
              <w:t>Nature of experience – mention one or more of the options provided (</w:t>
            </w: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7A530F">
              <w:rPr>
                <w:rFonts w:ascii="Arial" w:hAnsi="Arial" w:cs="Arial"/>
                <w:b/>
                <w:sz w:val="20"/>
                <w:szCs w:val="20"/>
              </w:rPr>
              <w:t>ational/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A530F">
              <w:rPr>
                <w:rFonts w:ascii="Arial" w:hAnsi="Arial" w:cs="Arial"/>
                <w:b/>
                <w:sz w:val="20"/>
                <w:szCs w:val="20"/>
              </w:rPr>
              <w:t>rovincial/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7A530F">
              <w:rPr>
                <w:rFonts w:ascii="Arial" w:hAnsi="Arial" w:cs="Arial"/>
                <w:b/>
                <w:sz w:val="20"/>
                <w:szCs w:val="20"/>
              </w:rPr>
              <w:t>nternship/</w:t>
            </w: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7A530F">
              <w:rPr>
                <w:rFonts w:ascii="Arial" w:hAnsi="Arial" w:cs="Arial"/>
                <w:b/>
                <w:sz w:val="20"/>
                <w:szCs w:val="20"/>
              </w:rPr>
              <w:t>esearch)</w:t>
            </w:r>
          </w:p>
        </w:tc>
        <w:tc>
          <w:tcPr>
            <w:tcW w:w="0" w:type="auto"/>
            <w:vMerge w:val="restart"/>
          </w:tcPr>
          <w:p w14:paraId="4815B2A9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A530F">
              <w:rPr>
                <w:rFonts w:ascii="Arial" w:hAnsi="Arial" w:cs="Arial"/>
                <w:b/>
                <w:sz w:val="20"/>
                <w:szCs w:val="20"/>
              </w:rPr>
              <w:t>Small brief of your experience for each of the themes as applicable (Word limit: 100 words)</w:t>
            </w:r>
          </w:p>
          <w:p w14:paraId="0373DC55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A530F">
              <w:rPr>
                <w:rFonts w:ascii="Arial" w:hAnsi="Arial" w:cs="Arial"/>
                <w:b/>
                <w:sz w:val="20"/>
                <w:szCs w:val="20"/>
              </w:rPr>
              <w:t>Write ‘NA’ wherever not applicable</w:t>
            </w:r>
          </w:p>
        </w:tc>
      </w:tr>
      <w:tr w:rsidR="00514F8C" w:rsidRPr="007A530F" w14:paraId="4DAB49F4" w14:textId="77777777" w:rsidTr="007F4A98">
        <w:trPr>
          <w:trHeight w:val="281"/>
        </w:trPr>
        <w:tc>
          <w:tcPr>
            <w:tcW w:w="0" w:type="auto"/>
            <w:vMerge/>
          </w:tcPr>
          <w:p w14:paraId="1E27F78D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7E509D8F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75B95FC5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 xml:space="preserve">Less than 1 </w:t>
            </w:r>
            <w:proofErr w:type="spellStart"/>
            <w:r w:rsidRPr="007A530F">
              <w:rPr>
                <w:rFonts w:ascii="Arial" w:hAnsi="Arial" w:cs="Arial"/>
                <w:sz w:val="20"/>
                <w:szCs w:val="20"/>
              </w:rPr>
              <w:t>yr</w:t>
            </w:r>
            <w:proofErr w:type="spellEnd"/>
            <w:r w:rsidRPr="007A530F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0" w:type="auto"/>
          </w:tcPr>
          <w:p w14:paraId="639C0D43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 xml:space="preserve">1-2 years </w:t>
            </w:r>
          </w:p>
        </w:tc>
        <w:tc>
          <w:tcPr>
            <w:tcW w:w="0" w:type="auto"/>
          </w:tcPr>
          <w:p w14:paraId="74B5B78D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 xml:space="preserve">3-4 </w:t>
            </w:r>
            <w:proofErr w:type="spellStart"/>
            <w:r w:rsidRPr="007A530F">
              <w:rPr>
                <w:rFonts w:ascii="Arial" w:hAnsi="Arial" w:cs="Arial"/>
                <w:sz w:val="20"/>
                <w:szCs w:val="20"/>
              </w:rPr>
              <w:t>yrs</w:t>
            </w:r>
            <w:proofErr w:type="spellEnd"/>
            <w:r w:rsidRPr="007A530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7A4F91DB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 xml:space="preserve">5-6 </w:t>
            </w:r>
            <w:proofErr w:type="spellStart"/>
            <w:r w:rsidRPr="007A530F">
              <w:rPr>
                <w:rFonts w:ascii="Arial" w:hAnsi="Arial" w:cs="Arial"/>
                <w:sz w:val="20"/>
                <w:szCs w:val="20"/>
              </w:rPr>
              <w:t>yrs</w:t>
            </w:r>
            <w:proofErr w:type="spellEnd"/>
            <w:r w:rsidRPr="007A530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599B85A7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 xml:space="preserve">&gt; 6 </w:t>
            </w:r>
            <w:proofErr w:type="spellStart"/>
            <w:r w:rsidRPr="007A530F">
              <w:rPr>
                <w:rFonts w:ascii="Arial" w:hAnsi="Arial" w:cs="Arial"/>
                <w:sz w:val="20"/>
                <w:szCs w:val="20"/>
              </w:rPr>
              <w:t>yrs</w:t>
            </w:r>
            <w:proofErr w:type="spellEnd"/>
          </w:p>
        </w:tc>
        <w:tc>
          <w:tcPr>
            <w:tcW w:w="0" w:type="auto"/>
            <w:vMerge/>
          </w:tcPr>
          <w:p w14:paraId="3E6344B0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014EF8CC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14F8C" w:rsidRPr="007A530F" w14:paraId="196DD584" w14:textId="77777777" w:rsidTr="007F4A98">
        <w:trPr>
          <w:trHeight w:val="281"/>
        </w:trPr>
        <w:tc>
          <w:tcPr>
            <w:tcW w:w="0" w:type="auto"/>
          </w:tcPr>
          <w:p w14:paraId="3F40F70D" w14:textId="77777777" w:rsidR="00514F8C" w:rsidRPr="007A530F" w:rsidRDefault="00514F8C" w:rsidP="00514F8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3A5271C2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 xml:space="preserve">Programme priorities: </w:t>
            </w:r>
          </w:p>
          <w:p w14:paraId="07E2F69F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A530F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 w:rsidRPr="007A530F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7A530F">
              <w:rPr>
                <w:rFonts w:ascii="Arial" w:hAnsi="Arial" w:cs="Arial"/>
                <w:b/>
                <w:bCs/>
                <w:sz w:val="20"/>
                <w:szCs w:val="20"/>
              </w:rPr>
              <w:t>) Health</w:t>
            </w:r>
          </w:p>
          <w:p w14:paraId="291BEEC1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Neonatal / Child health</w:t>
            </w:r>
          </w:p>
          <w:p w14:paraId="2FA33669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Maternal Health</w:t>
            </w:r>
          </w:p>
          <w:p w14:paraId="236B1AE2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 xml:space="preserve">Adolescent Health </w:t>
            </w:r>
          </w:p>
          <w:p w14:paraId="5EF3278B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Child disability</w:t>
            </w:r>
          </w:p>
          <w:p w14:paraId="3140D85D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b/>
                <w:bCs/>
                <w:sz w:val="20"/>
                <w:szCs w:val="20"/>
              </w:rPr>
              <w:t>(ii)</w:t>
            </w:r>
            <w:r w:rsidRPr="007A53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4E30">
              <w:rPr>
                <w:rFonts w:ascii="Arial" w:hAnsi="Arial" w:cs="Arial"/>
                <w:b/>
                <w:bCs/>
                <w:sz w:val="20"/>
                <w:szCs w:val="20"/>
              </w:rPr>
              <w:t>Early childhood development</w:t>
            </w:r>
          </w:p>
          <w:p w14:paraId="1FB92B99" w14:textId="77777777" w:rsidR="00514F8C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Convergent programming</w:t>
            </w:r>
          </w:p>
          <w:p w14:paraId="1DCA4ED2" w14:textId="77777777" w:rsidR="00514F8C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strengthening to improve service delivery</w:t>
            </w:r>
          </w:p>
          <w:p w14:paraId="753E97A4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84E30">
              <w:rPr>
                <w:rFonts w:ascii="Arial" w:hAnsi="Arial" w:cs="Arial"/>
                <w:sz w:val="20"/>
                <w:szCs w:val="20"/>
              </w:rPr>
              <w:t>aregiving behaviours, demand for services and social norms for positive parenting</w:t>
            </w:r>
          </w:p>
          <w:p w14:paraId="7D4C681C" w14:textId="77777777" w:rsidR="00514F8C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Parenting</w:t>
            </w:r>
          </w:p>
          <w:p w14:paraId="7742EBFC" w14:textId="77777777" w:rsidR="00514F8C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84E30">
              <w:rPr>
                <w:rFonts w:ascii="Arial" w:hAnsi="Arial" w:cs="Arial"/>
                <w:sz w:val="20"/>
                <w:szCs w:val="20"/>
              </w:rPr>
              <w:t>Advocacy and communication</w:t>
            </w:r>
          </w:p>
          <w:p w14:paraId="5D641F73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&amp; evidence generation</w:t>
            </w:r>
          </w:p>
          <w:p w14:paraId="6517772F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A530F">
              <w:rPr>
                <w:rFonts w:ascii="Arial" w:hAnsi="Arial" w:cs="Arial"/>
                <w:b/>
                <w:bCs/>
                <w:sz w:val="20"/>
                <w:szCs w:val="20"/>
              </w:rPr>
              <w:t>(iii) Nutrition</w:t>
            </w:r>
          </w:p>
          <w:p w14:paraId="5044424E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IYCF</w:t>
            </w:r>
          </w:p>
          <w:p w14:paraId="65B08A51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Stunting/Malnutrition</w:t>
            </w:r>
          </w:p>
          <w:p w14:paraId="40B7396A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Supplementation</w:t>
            </w:r>
          </w:p>
          <w:p w14:paraId="5022783D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 xml:space="preserve">Maternal or Adolescent Nutrition </w:t>
            </w:r>
          </w:p>
          <w:p w14:paraId="556BA91B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A530F">
              <w:rPr>
                <w:rFonts w:ascii="Arial" w:hAnsi="Arial" w:cs="Arial"/>
                <w:b/>
                <w:bCs/>
                <w:sz w:val="20"/>
                <w:szCs w:val="20"/>
              </w:rPr>
              <w:t>(iv) Education</w:t>
            </w:r>
          </w:p>
          <w:p w14:paraId="1E434EB2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 xml:space="preserve">School readiness </w:t>
            </w:r>
          </w:p>
          <w:p w14:paraId="172ECCFF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Early childhood education</w:t>
            </w:r>
          </w:p>
          <w:p w14:paraId="797B0D4D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 xml:space="preserve">Out of school children Retention &amp; continuation </w:t>
            </w:r>
          </w:p>
          <w:p w14:paraId="00BA4BCC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 xml:space="preserve">Socio-emotional </w:t>
            </w:r>
            <w:proofErr w:type="spellStart"/>
            <w:r w:rsidRPr="007A530F">
              <w:rPr>
                <w:rFonts w:ascii="Arial" w:hAnsi="Arial" w:cs="Arial"/>
                <w:sz w:val="20"/>
                <w:szCs w:val="20"/>
              </w:rPr>
              <w:t>lifeskills</w:t>
            </w:r>
            <w:proofErr w:type="spellEnd"/>
            <w:r w:rsidRPr="007A530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5FA784D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Skilling and school transition</w:t>
            </w:r>
          </w:p>
          <w:p w14:paraId="74E5D55F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TVET and job linkages</w:t>
            </w:r>
          </w:p>
          <w:p w14:paraId="30379A14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A530F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(v) Child Protection</w:t>
            </w:r>
          </w:p>
          <w:p w14:paraId="601EAF88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Early and forced Child Marriage</w:t>
            </w:r>
          </w:p>
          <w:p w14:paraId="1440CC13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Violence against children</w:t>
            </w:r>
          </w:p>
          <w:p w14:paraId="14E1BC50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Child trafficking</w:t>
            </w:r>
          </w:p>
          <w:p w14:paraId="33020083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 xml:space="preserve">Child labour </w:t>
            </w:r>
          </w:p>
          <w:p w14:paraId="6EDA64F3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A530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(vi) Adolescent development </w:t>
            </w:r>
          </w:p>
          <w:p w14:paraId="4B5FA36E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Participation and engagement</w:t>
            </w:r>
          </w:p>
          <w:p w14:paraId="2F0D9531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Life skills and empowerment</w:t>
            </w:r>
          </w:p>
          <w:p w14:paraId="372157A9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Citizenship</w:t>
            </w:r>
          </w:p>
          <w:p w14:paraId="152CC697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Volunteerism</w:t>
            </w:r>
          </w:p>
        </w:tc>
        <w:tc>
          <w:tcPr>
            <w:tcW w:w="0" w:type="auto"/>
          </w:tcPr>
          <w:p w14:paraId="71CB3A50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1C88F664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4D612063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22244970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65220E80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669322E8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5AF1964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 xml:space="preserve">Please list in brief all the areas you have worked under </w:t>
            </w:r>
          </w:p>
        </w:tc>
      </w:tr>
      <w:tr w:rsidR="00514F8C" w:rsidRPr="007A530F" w14:paraId="3C17C2F4" w14:textId="77777777" w:rsidTr="007F4A98">
        <w:trPr>
          <w:trHeight w:val="281"/>
        </w:trPr>
        <w:tc>
          <w:tcPr>
            <w:tcW w:w="0" w:type="auto"/>
          </w:tcPr>
          <w:p w14:paraId="25A4E7AC" w14:textId="77777777" w:rsidR="00514F8C" w:rsidRPr="007A530F" w:rsidRDefault="00514F8C" w:rsidP="00514F8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4258663C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Entertainment – Education</w:t>
            </w:r>
          </w:p>
          <w:p w14:paraId="5456E0D7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TV and film</w:t>
            </w:r>
          </w:p>
          <w:p w14:paraId="23FC782A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Audio and video (Radio, Games, etc.)</w:t>
            </w:r>
          </w:p>
          <w:p w14:paraId="279AB7DB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Radio programming</w:t>
            </w:r>
          </w:p>
          <w:p w14:paraId="758C02CE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Folk, culture, public access</w:t>
            </w:r>
          </w:p>
          <w:p w14:paraId="17548629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Media planning and engagement</w:t>
            </w:r>
          </w:p>
        </w:tc>
        <w:tc>
          <w:tcPr>
            <w:tcW w:w="0" w:type="auto"/>
          </w:tcPr>
          <w:p w14:paraId="20AB86F9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6F65BB25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2CC97F97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49309527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67D6D614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7DFA019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190DA8F7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14F8C" w:rsidRPr="007A530F" w14:paraId="5085FE26" w14:textId="77777777" w:rsidTr="007F4A98">
        <w:trPr>
          <w:trHeight w:val="281"/>
        </w:trPr>
        <w:tc>
          <w:tcPr>
            <w:tcW w:w="0" w:type="auto"/>
          </w:tcPr>
          <w:p w14:paraId="769EDF75" w14:textId="77777777" w:rsidR="00514F8C" w:rsidRPr="007A530F" w:rsidRDefault="00514F8C" w:rsidP="00514F8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47EF7D05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Gender transformative programming</w:t>
            </w:r>
          </w:p>
        </w:tc>
        <w:tc>
          <w:tcPr>
            <w:tcW w:w="0" w:type="auto"/>
          </w:tcPr>
          <w:p w14:paraId="499C09D9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0232AC4B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6D086048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75629C59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6314EC5B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4BC39CC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4021FAD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14F8C" w:rsidRPr="007A530F" w14:paraId="28801C5C" w14:textId="77777777" w:rsidTr="007F4A98">
        <w:trPr>
          <w:trHeight w:val="281"/>
        </w:trPr>
        <w:tc>
          <w:tcPr>
            <w:tcW w:w="0" w:type="auto"/>
          </w:tcPr>
          <w:p w14:paraId="3F73CA87" w14:textId="77777777" w:rsidR="00514F8C" w:rsidRPr="007A530F" w:rsidRDefault="00514F8C" w:rsidP="00514F8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582D64E6" w14:textId="77777777" w:rsidR="00514F8C" w:rsidRPr="00A84E30" w:rsidRDefault="00514F8C" w:rsidP="007F4A98">
            <w:pPr>
              <w:pStyle w:val="ListParagraph"/>
              <w:ind w:left="0"/>
              <w:rPr>
                <w:rStyle w:val="Emphasis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A84E30">
              <w:rPr>
                <w:rStyle w:val="Emphasis"/>
                <w:rFonts w:ascii="Arial" w:hAnsi="Arial" w:cs="Arial"/>
                <w:sz w:val="20"/>
                <w:szCs w:val="20"/>
              </w:rPr>
              <w:t xml:space="preserve">System strengthening </w:t>
            </w:r>
          </w:p>
          <w:p w14:paraId="6084ACCF" w14:textId="77777777" w:rsidR="00514F8C" w:rsidRPr="00A84E30" w:rsidRDefault="00514F8C" w:rsidP="007F4A98">
            <w:pPr>
              <w:pStyle w:val="ListParagraph"/>
              <w:ind w:left="0"/>
              <w:rPr>
                <w:rStyle w:val="Emphasis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A84E30">
              <w:rPr>
                <w:rStyle w:val="Emphasis"/>
                <w:rFonts w:ascii="Arial" w:hAnsi="Arial" w:cs="Arial"/>
                <w:sz w:val="20"/>
                <w:szCs w:val="20"/>
              </w:rPr>
              <w:t>Communication planning</w:t>
            </w:r>
          </w:p>
          <w:p w14:paraId="5CE6788F" w14:textId="77777777" w:rsidR="00514F8C" w:rsidRPr="00A84E30" w:rsidRDefault="00514F8C" w:rsidP="007F4A98">
            <w:pPr>
              <w:pStyle w:val="ListParagraph"/>
              <w:ind w:left="0"/>
              <w:rPr>
                <w:rStyle w:val="Emphasis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A84E30">
              <w:rPr>
                <w:rStyle w:val="Emphasis"/>
                <w:rFonts w:ascii="Arial" w:hAnsi="Arial" w:cs="Arial"/>
                <w:sz w:val="20"/>
                <w:szCs w:val="20"/>
              </w:rPr>
              <w:t>Policy briefs &amp; implementation guidance</w:t>
            </w:r>
          </w:p>
          <w:p w14:paraId="10ABED5A" w14:textId="77777777" w:rsidR="00514F8C" w:rsidRPr="00A84E30" w:rsidRDefault="00514F8C" w:rsidP="007F4A98">
            <w:pPr>
              <w:pStyle w:val="ListParagraph"/>
              <w:ind w:left="0"/>
              <w:rPr>
                <w:rStyle w:val="Emphasis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A84E30">
              <w:rPr>
                <w:rStyle w:val="Emphasis"/>
                <w:rFonts w:ascii="Arial" w:hAnsi="Arial" w:cs="Arial"/>
                <w:sz w:val="20"/>
                <w:szCs w:val="20"/>
              </w:rPr>
              <w:t xml:space="preserve">Operational guidelines, SOP development </w:t>
            </w:r>
          </w:p>
          <w:p w14:paraId="2EBD62A6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  <w:r w:rsidRPr="00A84E30">
              <w:rPr>
                <w:rStyle w:val="Emphasis"/>
                <w:rFonts w:ascii="Arial" w:hAnsi="Arial" w:cs="Arial"/>
                <w:sz w:val="20"/>
                <w:szCs w:val="20"/>
              </w:rPr>
              <w:t>SBC M&amp;E in systems</w:t>
            </w:r>
            <w:r w:rsidRPr="007A530F">
              <w:rPr>
                <w:rStyle w:val="Emphasis"/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327E42B0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0D11F3F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61A88E66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1A6BC915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40DDEEE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132E2210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6BDD6BDE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14F8C" w:rsidRPr="007A530F" w14:paraId="02C7AC56" w14:textId="77777777" w:rsidTr="007F4A98">
        <w:trPr>
          <w:trHeight w:val="281"/>
        </w:trPr>
        <w:tc>
          <w:tcPr>
            <w:tcW w:w="0" w:type="auto"/>
          </w:tcPr>
          <w:p w14:paraId="55CCC0E0" w14:textId="77777777" w:rsidR="00514F8C" w:rsidRPr="007A530F" w:rsidRDefault="00514F8C" w:rsidP="00514F8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2B1027D8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Capacity Development for SBC (in sectors)</w:t>
            </w:r>
          </w:p>
          <w:p w14:paraId="25D55479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Training needs assessment</w:t>
            </w:r>
          </w:p>
          <w:p w14:paraId="041678FB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Content/Material Development</w:t>
            </w:r>
          </w:p>
          <w:p w14:paraId="6D2BF28C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Designing/ evaluating training programmes</w:t>
            </w:r>
          </w:p>
        </w:tc>
        <w:tc>
          <w:tcPr>
            <w:tcW w:w="0" w:type="auto"/>
          </w:tcPr>
          <w:p w14:paraId="4A04DBFF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7789849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2876E969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74E52028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150F9585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11E7D3E1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05B819EF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14F8C" w:rsidRPr="007A530F" w14:paraId="707BF15E" w14:textId="77777777" w:rsidTr="007F4A98">
        <w:trPr>
          <w:trHeight w:val="281"/>
        </w:trPr>
        <w:tc>
          <w:tcPr>
            <w:tcW w:w="0" w:type="auto"/>
          </w:tcPr>
          <w:p w14:paraId="412B0FCC" w14:textId="77777777" w:rsidR="00514F8C" w:rsidRPr="007A530F" w:rsidRDefault="00514F8C" w:rsidP="00514F8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2C09D390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SBC Budgeting for Programmes – National and provincial level implementation</w:t>
            </w:r>
          </w:p>
        </w:tc>
        <w:tc>
          <w:tcPr>
            <w:tcW w:w="0" w:type="auto"/>
          </w:tcPr>
          <w:p w14:paraId="10060C9D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531E9995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57F6CBF5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1FB663F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148E5C7A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47E62C7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6FA03772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14F8C" w:rsidRPr="007A530F" w14:paraId="0397C1AF" w14:textId="77777777" w:rsidTr="007F4A98">
        <w:trPr>
          <w:trHeight w:val="281"/>
        </w:trPr>
        <w:tc>
          <w:tcPr>
            <w:tcW w:w="0" w:type="auto"/>
          </w:tcPr>
          <w:p w14:paraId="5DE7A526" w14:textId="77777777" w:rsidR="00514F8C" w:rsidRPr="007A530F" w:rsidRDefault="00514F8C" w:rsidP="00514F8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1AB78257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 xml:space="preserve">Community / Social Mobilization </w:t>
            </w:r>
          </w:p>
          <w:p w14:paraId="0D100DCA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Women &amp; Youth Committees</w:t>
            </w:r>
          </w:p>
          <w:p w14:paraId="3BEDAB1E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t>Community platforms /Committees</w:t>
            </w:r>
          </w:p>
          <w:p w14:paraId="27CA623C" w14:textId="77777777" w:rsidR="00514F8C" w:rsidRPr="007A530F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530F">
              <w:rPr>
                <w:rFonts w:ascii="Arial" w:hAnsi="Arial" w:cs="Arial"/>
                <w:sz w:val="20"/>
                <w:szCs w:val="20"/>
              </w:rPr>
              <w:lastRenderedPageBreak/>
              <w:t>Faith-based institutions</w:t>
            </w:r>
          </w:p>
        </w:tc>
        <w:tc>
          <w:tcPr>
            <w:tcW w:w="0" w:type="auto"/>
          </w:tcPr>
          <w:p w14:paraId="1A276473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744562A5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24E65019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29BA82C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188F78B4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53164743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18B8C62F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14F8C" w:rsidRPr="007A530F" w14:paraId="1D549324" w14:textId="77777777" w:rsidTr="007F4A98">
        <w:trPr>
          <w:trHeight w:val="281"/>
        </w:trPr>
        <w:tc>
          <w:tcPr>
            <w:tcW w:w="0" w:type="auto"/>
          </w:tcPr>
          <w:p w14:paraId="6FEE0A6C" w14:textId="77777777" w:rsidR="00514F8C" w:rsidRPr="007A530F" w:rsidRDefault="00514F8C" w:rsidP="00514F8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1A12C5C0" w14:textId="77777777" w:rsidR="00514F8C" w:rsidRPr="00A84E30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84E30">
              <w:rPr>
                <w:rFonts w:ascii="Arial" w:hAnsi="Arial" w:cs="Arial"/>
                <w:sz w:val="20"/>
                <w:szCs w:val="20"/>
              </w:rPr>
              <w:t>SBC/RCCE and DRR:</w:t>
            </w:r>
          </w:p>
          <w:p w14:paraId="5D391B9C" w14:textId="77777777" w:rsidR="00514F8C" w:rsidRPr="00A84E30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84E30">
              <w:rPr>
                <w:rFonts w:ascii="Arial" w:hAnsi="Arial" w:cs="Arial"/>
                <w:sz w:val="20"/>
                <w:szCs w:val="20"/>
              </w:rPr>
              <w:t>Emergency Response</w:t>
            </w:r>
          </w:p>
          <w:p w14:paraId="72E506BC" w14:textId="77777777" w:rsidR="00514F8C" w:rsidRPr="00A84E30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84E30">
              <w:rPr>
                <w:rFonts w:ascii="Arial" w:hAnsi="Arial" w:cs="Arial"/>
                <w:sz w:val="20"/>
                <w:szCs w:val="20"/>
              </w:rPr>
              <w:t>Humanitarian Response</w:t>
            </w:r>
          </w:p>
          <w:p w14:paraId="57405D0C" w14:textId="77777777" w:rsidR="00514F8C" w:rsidRPr="00A84E30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84E30">
              <w:rPr>
                <w:rFonts w:ascii="Arial" w:hAnsi="Arial" w:cs="Arial"/>
                <w:sz w:val="20"/>
                <w:szCs w:val="20"/>
              </w:rPr>
              <w:t>Outbreak Response</w:t>
            </w:r>
          </w:p>
          <w:p w14:paraId="5B3E6DD9" w14:textId="77777777" w:rsidR="00514F8C" w:rsidRPr="00A84E30" w:rsidRDefault="00514F8C" w:rsidP="007F4A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84E30">
              <w:rPr>
                <w:rFonts w:ascii="Arial" w:hAnsi="Arial" w:cs="Arial"/>
                <w:sz w:val="20"/>
                <w:szCs w:val="20"/>
              </w:rPr>
              <w:t xml:space="preserve">Community Feedback / Social Accountability </w:t>
            </w:r>
          </w:p>
        </w:tc>
        <w:tc>
          <w:tcPr>
            <w:tcW w:w="0" w:type="auto"/>
          </w:tcPr>
          <w:p w14:paraId="05090B88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470C10E2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4F09BF3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0D9B77B2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204BA6E8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114ED173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17C5E0FA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14F8C" w:rsidRPr="007A530F" w14:paraId="26612EBC" w14:textId="77777777" w:rsidTr="007F4A98">
        <w:trPr>
          <w:trHeight w:val="281"/>
        </w:trPr>
        <w:tc>
          <w:tcPr>
            <w:tcW w:w="0" w:type="auto"/>
          </w:tcPr>
          <w:p w14:paraId="509D8805" w14:textId="77777777" w:rsidR="00514F8C" w:rsidRPr="007A530F" w:rsidRDefault="00514F8C" w:rsidP="00514F8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46780DA5" w14:textId="77777777" w:rsidR="00514F8C" w:rsidRPr="00A84E30" w:rsidRDefault="00514F8C" w:rsidP="007F4A98">
            <w:pPr>
              <w:pStyle w:val="ListParagraph"/>
              <w:ind w:left="0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A84E30">
              <w:rPr>
                <w:rStyle w:val="Emphasis"/>
                <w:rFonts w:ascii="Arial" w:hAnsi="Arial" w:cs="Arial"/>
                <w:sz w:val="20"/>
                <w:szCs w:val="20"/>
              </w:rPr>
              <w:t>Documentation, Data Analysis and Stories/Articles Report writing for SBC (Evidence Utilization / Monitoring and Evaluation / Knowledge Management), SBC investment case</w:t>
            </w:r>
          </w:p>
        </w:tc>
        <w:tc>
          <w:tcPr>
            <w:tcW w:w="0" w:type="auto"/>
          </w:tcPr>
          <w:p w14:paraId="06B04704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3A1104A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44FAA453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5E7EDBE4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43C6AE91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823CA5E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50173BE2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14F8C" w:rsidRPr="007A530F" w14:paraId="7076DC51" w14:textId="77777777" w:rsidTr="007F4A98">
        <w:trPr>
          <w:trHeight w:val="281"/>
        </w:trPr>
        <w:tc>
          <w:tcPr>
            <w:tcW w:w="0" w:type="auto"/>
          </w:tcPr>
          <w:p w14:paraId="794AAFC5" w14:textId="77777777" w:rsidR="00514F8C" w:rsidRPr="007A530F" w:rsidRDefault="00514F8C" w:rsidP="00514F8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414611BA" w14:textId="77777777" w:rsidR="00514F8C" w:rsidRPr="00A84E30" w:rsidRDefault="00514F8C" w:rsidP="007F4A98">
            <w:pPr>
              <w:pStyle w:val="ListParagraph"/>
              <w:ind w:left="0"/>
              <w:rPr>
                <w:rStyle w:val="Emphasis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A84E30">
              <w:rPr>
                <w:rStyle w:val="Emphasis"/>
                <w:rFonts w:ascii="Arial" w:hAnsi="Arial" w:cs="Arial"/>
                <w:sz w:val="20"/>
                <w:szCs w:val="20"/>
              </w:rPr>
              <w:t>Partnership management on SBC (Media, Academic institutes/universities, FBOs, CSOs, private sector, non-traditional partners etc.) and ICT for Behaviour Change/New Technologies</w:t>
            </w:r>
          </w:p>
        </w:tc>
        <w:tc>
          <w:tcPr>
            <w:tcW w:w="0" w:type="auto"/>
          </w:tcPr>
          <w:p w14:paraId="3822DB78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2C4A6EB3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E859647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25E3060D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116BD58D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70EC37DE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12841F3" w14:textId="77777777" w:rsidR="00514F8C" w:rsidRPr="007A530F" w:rsidRDefault="00514F8C" w:rsidP="007F4A98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F778366" w14:textId="77777777" w:rsidR="00475EFA" w:rsidRDefault="00475EFA"/>
    <w:sectPr w:rsidR="00475EFA" w:rsidSect="00514F8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96A0C"/>
    <w:multiLevelType w:val="hybridMultilevel"/>
    <w:tmpl w:val="1B18D8A0"/>
    <w:lvl w:ilvl="0" w:tplc="4002FA8E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F8C"/>
    <w:rsid w:val="00475EFA"/>
    <w:rsid w:val="0051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7657C"/>
  <w15:chartTrackingRefBased/>
  <w15:docId w15:val="{6BA423E0-520A-4672-856B-B246AF350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F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4F8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Evidence on Demand bullet points,Bullet List,FooterText,List Paragraph1,Colorful List Accent 1,numbered,Paragraphe de liste1,列出段落,列出段落1,Bulletr List Paragraph,List Paragraph2,List Paragraph21,Párrafo de lista1,Parágrafo da Lista1,リスト段落1"/>
    <w:basedOn w:val="Normal"/>
    <w:link w:val="ListParagraphChar"/>
    <w:uiPriority w:val="34"/>
    <w:qFormat/>
    <w:rsid w:val="00514F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Evidence on Demand bullet points Char,Bullet List Char,FooterText Char,List Paragraph1 Char,Colorful List Accent 1 Char,numbered Char,Paragraphe de liste1 Char,列出段落 Char,列出段落1 Char,Bulletr List Paragraph Char,List Paragraph2 Char"/>
    <w:link w:val="ListParagraph"/>
    <w:uiPriority w:val="34"/>
    <w:qFormat/>
    <w:locked/>
    <w:rsid w:val="00514F8C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qFormat/>
    <w:rsid w:val="00514F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371</Words>
  <Characters>2117</Characters>
  <Application>Microsoft Office Word</Application>
  <DocSecurity>0</DocSecurity>
  <Lines>17</Lines>
  <Paragraphs>4</Paragraphs>
  <ScaleCrop>false</ScaleCrop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Eylul Bilgin</dc:creator>
  <cp:keywords/>
  <dc:description/>
  <cp:lastModifiedBy>Eylul Bilgin</cp:lastModifiedBy>
  <cp:revision>1</cp:revision>
  <dcterms:created xsi:type="dcterms:W3CDTF">2022-09-16T08:45:00Z</dcterms:created>
  <dcterms:modified xsi:type="dcterms:W3CDTF">2022-09-16T08:46:00Z</dcterms:modified>
</cp:coreProperties>
</file>